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28617E">
      <w:pPr>
        <w:widowControl/>
        <w:jc w:val="center"/>
        <w:rPr>
          <w:rFonts w:hint="eastAsia" w:ascii="仿宋_GB2312" w:hAnsi="仿宋_GB2312" w:eastAsia="仿宋_GB2312" w:cs="仿宋_GB2312"/>
          <w:spacing w:val="-6"/>
          <w:sz w:val="32"/>
          <w:szCs w:val="32"/>
        </w:rPr>
      </w:pPr>
      <w:r>
        <w:rPr>
          <w:rFonts w:hint="eastAsia" w:ascii="方正小标宋简体" w:hAnsi="方正小标宋简体" w:eastAsia="方正小标宋简体" w:cs="方正小标宋简体"/>
          <w:sz w:val="44"/>
          <w:szCs w:val="44"/>
        </w:rPr>
        <w:t>佛山市中小企业数字化转型城市试点、佛山市产业集群数字化转型项目数字化牵引单位产品清单</w:t>
      </w:r>
    </w:p>
    <w:p w14:paraId="564A8A8A">
      <w:pPr>
        <w:spacing w:line="560" w:lineRule="exact"/>
        <w:jc w:val="center"/>
        <w:rPr>
          <w:rFonts w:hint="eastAsia" w:ascii="仿宋_GB2312" w:hAnsi="仿宋_GB2312" w:eastAsia="仿宋_GB2312" w:cs="仿宋_GB2312"/>
          <w:bCs/>
          <w:sz w:val="32"/>
          <w:szCs w:val="32"/>
        </w:rPr>
      </w:pP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数字化牵引单位：广东新宝电器股份有限公司</w:t>
      </w:r>
      <w:r>
        <w:rPr>
          <w:rFonts w:hint="eastAsia" w:ascii="方正小标宋简体" w:hAnsi="方正小标宋简体" w:eastAsia="方正小标宋简体" w:cs="方正小标宋简体"/>
          <w:sz w:val="44"/>
          <w:szCs w:val="44"/>
          <w:lang w:eastAsia="zh-CN"/>
        </w:rPr>
        <w:t>）</w:t>
      </w:r>
    </w:p>
    <w:p w14:paraId="2BBA19AF">
      <w:pPr>
        <w:spacing w:line="560" w:lineRule="exact"/>
        <w:rPr>
          <w:rFonts w:hint="eastAsia" w:ascii="仿宋_GB2312" w:hAnsi="仿宋_GB2312" w:eastAsia="仿宋_GB2312" w:cs="仿宋_GB2312"/>
          <w:bCs/>
          <w:sz w:val="32"/>
          <w:szCs w:val="32"/>
        </w:rPr>
      </w:pPr>
    </w:p>
    <w:p w14:paraId="2DF6C317">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（一）联合体成员：</w:t>
      </w:r>
      <w:r>
        <w:rPr>
          <w:rFonts w:hint="eastAsia" w:ascii="仿宋_GB2312" w:hAnsi="仿宋_GB2312" w:eastAsia="仿宋_GB2312" w:cs="仿宋_GB2312"/>
          <w:bCs/>
          <w:szCs w:val="28"/>
        </w:rPr>
        <w:t xml:space="preserve">金蝶软件（中国）有限公司佛山分公司  </w:t>
      </w:r>
    </w:p>
    <w:tbl>
      <w:tblPr>
        <w:tblStyle w:val="14"/>
        <w:tblW w:w="0" w:type="auto"/>
        <w:tblInd w:w="113" w:type="dxa"/>
        <w:tblLayout w:type="autofit"/>
        <w:tblCellMar>
          <w:top w:w="0" w:type="dxa"/>
          <w:left w:w="108" w:type="dxa"/>
          <w:bottom w:w="0" w:type="dxa"/>
          <w:right w:w="108" w:type="dxa"/>
        </w:tblCellMar>
      </w:tblPr>
      <w:tblGrid>
        <w:gridCol w:w="804"/>
        <w:gridCol w:w="1508"/>
        <w:gridCol w:w="3301"/>
        <w:gridCol w:w="3394"/>
        <w:gridCol w:w="1548"/>
        <w:gridCol w:w="3360"/>
      </w:tblGrid>
      <w:tr w14:paraId="0230F53B">
        <w:tblPrEx>
          <w:tblCellMar>
            <w:top w:w="0" w:type="dxa"/>
            <w:left w:w="108" w:type="dxa"/>
            <w:bottom w:w="0" w:type="dxa"/>
            <w:right w:w="108" w:type="dxa"/>
          </w:tblCellMar>
        </w:tblPrEx>
        <w:trPr>
          <w:trHeight w:val="1182"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6EA71E9F">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08" w:type="dxa"/>
            <w:tcBorders>
              <w:top w:val="single" w:color="auto" w:sz="4" w:space="0"/>
              <w:left w:val="nil"/>
              <w:bottom w:val="single" w:color="auto" w:sz="4" w:space="0"/>
              <w:right w:val="single" w:color="auto" w:sz="4" w:space="0"/>
            </w:tcBorders>
            <w:shd w:val="clear" w:color="auto" w:fill="auto"/>
            <w:vAlign w:val="center"/>
          </w:tcPr>
          <w:p w14:paraId="1C4EAEBA">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301" w:type="dxa"/>
            <w:tcBorders>
              <w:top w:val="single" w:color="auto" w:sz="4" w:space="0"/>
              <w:left w:val="nil"/>
              <w:bottom w:val="single" w:color="auto" w:sz="4" w:space="0"/>
              <w:right w:val="single" w:color="auto" w:sz="4" w:space="0"/>
            </w:tcBorders>
            <w:shd w:val="clear" w:color="auto" w:fill="auto"/>
            <w:vAlign w:val="center"/>
          </w:tcPr>
          <w:p w14:paraId="1191DDE1">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394" w:type="dxa"/>
            <w:tcBorders>
              <w:top w:val="single" w:color="auto" w:sz="4" w:space="0"/>
              <w:left w:val="nil"/>
              <w:bottom w:val="single" w:color="auto" w:sz="4" w:space="0"/>
              <w:right w:val="single" w:color="auto" w:sz="4" w:space="0"/>
            </w:tcBorders>
            <w:shd w:val="clear" w:color="auto" w:fill="auto"/>
            <w:vAlign w:val="center"/>
          </w:tcPr>
          <w:p w14:paraId="23F9BF15">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48" w:type="dxa"/>
            <w:tcBorders>
              <w:top w:val="single" w:color="auto" w:sz="4" w:space="0"/>
              <w:left w:val="nil"/>
              <w:bottom w:val="single" w:color="auto" w:sz="4" w:space="0"/>
              <w:right w:val="single" w:color="auto" w:sz="4" w:space="0"/>
            </w:tcBorders>
            <w:shd w:val="clear" w:color="auto" w:fill="auto"/>
            <w:vAlign w:val="center"/>
          </w:tcPr>
          <w:p w14:paraId="3F2440E7">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60" w:type="dxa"/>
            <w:tcBorders>
              <w:top w:val="single" w:color="auto" w:sz="4" w:space="0"/>
              <w:left w:val="nil"/>
              <w:bottom w:val="single" w:color="auto" w:sz="4" w:space="0"/>
              <w:right w:val="single" w:color="auto" w:sz="4" w:space="0"/>
            </w:tcBorders>
            <w:shd w:val="clear" w:color="auto" w:fill="auto"/>
            <w:vAlign w:val="center"/>
          </w:tcPr>
          <w:p w14:paraId="6CDAA13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44188F3B">
        <w:tblPrEx>
          <w:tblCellMar>
            <w:top w:w="0" w:type="dxa"/>
            <w:left w:w="108" w:type="dxa"/>
            <w:bottom w:w="0" w:type="dxa"/>
            <w:right w:w="108" w:type="dxa"/>
          </w:tblCellMar>
        </w:tblPrEx>
        <w:trPr>
          <w:trHeight w:val="3066"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2B3C91E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08" w:type="dxa"/>
            <w:tcBorders>
              <w:top w:val="single" w:color="auto" w:sz="4" w:space="0"/>
              <w:left w:val="nil"/>
              <w:bottom w:val="single" w:color="auto" w:sz="4" w:space="0"/>
              <w:right w:val="single" w:color="auto" w:sz="4" w:space="0"/>
            </w:tcBorders>
            <w:shd w:val="clear" w:color="auto" w:fill="auto"/>
            <w:vAlign w:val="center"/>
          </w:tcPr>
          <w:p w14:paraId="4DB647F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金蝶云星空</w:t>
            </w:r>
          </w:p>
        </w:tc>
        <w:tc>
          <w:tcPr>
            <w:tcW w:w="3301" w:type="dxa"/>
            <w:tcBorders>
              <w:top w:val="single" w:color="auto" w:sz="4" w:space="0"/>
              <w:left w:val="nil"/>
              <w:bottom w:val="single" w:color="auto" w:sz="4" w:space="0"/>
              <w:right w:val="single" w:color="auto" w:sz="4" w:space="0"/>
            </w:tcBorders>
            <w:shd w:val="clear" w:color="auto" w:fill="auto"/>
            <w:vAlign w:val="center"/>
          </w:tcPr>
          <w:p w14:paraId="64F3CD5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3394" w:type="dxa"/>
            <w:tcBorders>
              <w:top w:val="single" w:color="auto" w:sz="4" w:space="0"/>
              <w:left w:val="nil"/>
              <w:bottom w:val="single" w:color="auto" w:sz="4" w:space="0"/>
              <w:right w:val="single" w:color="auto" w:sz="4" w:space="0"/>
            </w:tcBorders>
            <w:shd w:val="clear" w:color="auto" w:fill="auto"/>
            <w:vAlign w:val="center"/>
          </w:tcPr>
          <w:p w14:paraId="781A1B3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从销售接单，到生产计划、物料采购、仓库进出料管理、质量管理、财务与成本核算，使企业管理更加灵活的面对供需变动。掌握准确及时、完整信息的基础上，做出正确决策，采取准确管理的措施。</w:t>
            </w:r>
          </w:p>
        </w:tc>
        <w:tc>
          <w:tcPr>
            <w:tcW w:w="1548" w:type="dxa"/>
            <w:tcBorders>
              <w:top w:val="single" w:color="auto" w:sz="4" w:space="0"/>
              <w:left w:val="nil"/>
              <w:bottom w:val="single" w:color="auto" w:sz="4" w:space="0"/>
              <w:right w:val="single" w:color="auto" w:sz="4" w:space="0"/>
            </w:tcBorders>
            <w:shd w:val="clear" w:color="auto" w:fill="auto"/>
            <w:vAlign w:val="center"/>
          </w:tcPr>
          <w:p w14:paraId="1C92C9D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60" w:type="dxa"/>
            <w:tcBorders>
              <w:top w:val="single" w:color="auto" w:sz="4" w:space="0"/>
              <w:left w:val="nil"/>
              <w:bottom w:val="single" w:color="auto" w:sz="4" w:space="0"/>
              <w:right w:val="single" w:color="auto" w:sz="4" w:space="0"/>
            </w:tcBorders>
            <w:shd w:val="clear" w:color="auto" w:fill="auto"/>
            <w:vAlign w:val="center"/>
          </w:tcPr>
          <w:p w14:paraId="46556A03">
            <w:pPr>
              <w:spacing w:line="360" w:lineRule="auto"/>
              <w:jc w:val="center"/>
              <w:rPr>
                <w:rFonts w:hint="eastAsia" w:ascii="仿宋_GB2312" w:hAnsi="仿宋_GB2312" w:eastAsia="仿宋_GB2312" w:cs="仿宋_GB2312"/>
                <w:kern w:val="0"/>
                <w:sz w:val="24"/>
                <w:szCs w:val="24"/>
              </w:rPr>
            </w:pPr>
          </w:p>
        </w:tc>
      </w:tr>
      <w:tr w14:paraId="6F831231">
        <w:tblPrEx>
          <w:tblCellMar>
            <w:top w:w="0" w:type="dxa"/>
            <w:left w:w="108" w:type="dxa"/>
            <w:bottom w:w="0" w:type="dxa"/>
            <w:right w:w="108" w:type="dxa"/>
          </w:tblCellMar>
        </w:tblPrEx>
        <w:trPr>
          <w:trHeight w:val="3066"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7D3BAA5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08" w:type="dxa"/>
            <w:tcBorders>
              <w:top w:val="single" w:color="auto" w:sz="4" w:space="0"/>
              <w:left w:val="nil"/>
              <w:bottom w:val="single" w:color="auto" w:sz="4" w:space="0"/>
              <w:right w:val="single" w:color="auto" w:sz="4" w:space="0"/>
            </w:tcBorders>
            <w:shd w:val="clear" w:color="auto" w:fill="auto"/>
            <w:vAlign w:val="center"/>
          </w:tcPr>
          <w:p w14:paraId="7502B8A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金蝶云星辰</w:t>
            </w:r>
          </w:p>
        </w:tc>
        <w:tc>
          <w:tcPr>
            <w:tcW w:w="3301" w:type="dxa"/>
            <w:tcBorders>
              <w:top w:val="single" w:color="auto" w:sz="4" w:space="0"/>
              <w:left w:val="nil"/>
              <w:bottom w:val="single" w:color="auto" w:sz="4" w:space="0"/>
              <w:right w:val="single" w:color="auto" w:sz="4" w:space="0"/>
            </w:tcBorders>
            <w:shd w:val="clear" w:color="auto" w:fill="auto"/>
            <w:vAlign w:val="center"/>
          </w:tcPr>
          <w:p w14:paraId="0471B70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通过系统的整体流程，固化并优化企业管理，提升企业管理规范性；移动端随时随地使用，财务业务数据及时掌控，移动审批，方便快捷，提升效率；业务单据自动生成会计凭证，三大报表自动生成，数据更严谨。</w:t>
            </w:r>
          </w:p>
        </w:tc>
        <w:tc>
          <w:tcPr>
            <w:tcW w:w="3394" w:type="dxa"/>
            <w:tcBorders>
              <w:top w:val="single" w:color="auto" w:sz="4" w:space="0"/>
              <w:left w:val="nil"/>
              <w:bottom w:val="single" w:color="auto" w:sz="4" w:space="0"/>
              <w:right w:val="single" w:color="auto" w:sz="4" w:space="0"/>
            </w:tcBorders>
            <w:shd w:val="clear" w:color="auto" w:fill="auto"/>
            <w:vAlign w:val="center"/>
          </w:tcPr>
          <w:p w14:paraId="1988615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聚焦小型企业在线经营和数字化管理，以“新财税、新营销、新平台”三大特性赋能企业提供财务云、税务云、进销存云、订货商城等SaaS服务，支持小型企业拓客开源、智能管理、实时决策。</w:t>
            </w:r>
          </w:p>
        </w:tc>
        <w:tc>
          <w:tcPr>
            <w:tcW w:w="1548" w:type="dxa"/>
            <w:tcBorders>
              <w:top w:val="single" w:color="auto" w:sz="4" w:space="0"/>
              <w:left w:val="nil"/>
              <w:bottom w:val="single" w:color="auto" w:sz="4" w:space="0"/>
              <w:right w:val="single" w:color="auto" w:sz="4" w:space="0"/>
            </w:tcBorders>
            <w:shd w:val="clear" w:color="auto" w:fill="auto"/>
            <w:vAlign w:val="center"/>
          </w:tcPr>
          <w:p w14:paraId="200B048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按模块和用户数、账套数收费，按年收取租赁费，基础模块2800-3800元/年不等，用户1000元/用户/年。</w:t>
            </w:r>
          </w:p>
        </w:tc>
        <w:tc>
          <w:tcPr>
            <w:tcW w:w="3360" w:type="dxa"/>
            <w:tcBorders>
              <w:top w:val="single" w:color="auto" w:sz="4" w:space="0"/>
              <w:left w:val="nil"/>
              <w:bottom w:val="single" w:color="auto" w:sz="4" w:space="0"/>
              <w:right w:val="single" w:color="auto" w:sz="4" w:space="0"/>
            </w:tcBorders>
            <w:shd w:val="clear" w:color="auto" w:fill="auto"/>
            <w:vAlign w:val="center"/>
          </w:tcPr>
          <w:p w14:paraId="61B85753">
            <w:pPr>
              <w:spacing w:line="360" w:lineRule="auto"/>
              <w:jc w:val="center"/>
              <w:rPr>
                <w:rFonts w:hint="eastAsia" w:ascii="仿宋_GB2312" w:hAnsi="仿宋_GB2312" w:eastAsia="仿宋_GB2312" w:cs="仿宋_GB2312"/>
                <w:kern w:val="0"/>
                <w:sz w:val="24"/>
                <w:szCs w:val="24"/>
              </w:rPr>
            </w:pPr>
          </w:p>
        </w:tc>
      </w:tr>
      <w:tr w14:paraId="350B8B91">
        <w:tblPrEx>
          <w:tblCellMar>
            <w:top w:w="0" w:type="dxa"/>
            <w:left w:w="108" w:type="dxa"/>
            <w:bottom w:w="0" w:type="dxa"/>
            <w:right w:w="108" w:type="dxa"/>
          </w:tblCellMar>
        </w:tblPrEx>
        <w:trPr>
          <w:trHeight w:val="3091" w:hRule="atLeast"/>
        </w:trPr>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14:paraId="125DDD3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08" w:type="dxa"/>
            <w:tcBorders>
              <w:top w:val="single" w:color="auto" w:sz="4" w:space="0"/>
              <w:left w:val="nil"/>
              <w:bottom w:val="single" w:color="auto" w:sz="4" w:space="0"/>
              <w:right w:val="single" w:color="auto" w:sz="4" w:space="0"/>
            </w:tcBorders>
            <w:shd w:val="clear" w:color="auto" w:fill="auto"/>
            <w:vAlign w:val="center"/>
          </w:tcPr>
          <w:p w14:paraId="35FC1A6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金蝶KIS云</w:t>
            </w:r>
          </w:p>
        </w:tc>
        <w:tc>
          <w:tcPr>
            <w:tcW w:w="3301" w:type="dxa"/>
            <w:tcBorders>
              <w:top w:val="single" w:color="auto" w:sz="4" w:space="0"/>
              <w:left w:val="nil"/>
              <w:bottom w:val="single" w:color="auto" w:sz="4" w:space="0"/>
              <w:right w:val="single" w:color="auto" w:sz="4" w:space="0"/>
            </w:tcBorders>
            <w:shd w:val="clear" w:color="auto" w:fill="auto"/>
            <w:vAlign w:val="center"/>
          </w:tcPr>
          <w:p w14:paraId="238D238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为中小型制造、商贸流通企业提供全方位的云应用解决方案支持企业生产上云、供应链和财务上云，企业员工通过KIS云随时随地可以通过Pc端、手机端完成业务处理，实现企业上云办公，让企业管理更高效。</w:t>
            </w:r>
          </w:p>
        </w:tc>
        <w:tc>
          <w:tcPr>
            <w:tcW w:w="3394" w:type="dxa"/>
            <w:tcBorders>
              <w:top w:val="single" w:color="auto" w:sz="4" w:space="0"/>
              <w:left w:val="nil"/>
              <w:bottom w:val="single" w:color="auto" w:sz="4" w:space="0"/>
              <w:right w:val="single" w:color="auto" w:sz="4" w:space="0"/>
            </w:tcBorders>
            <w:shd w:val="clear" w:color="auto" w:fill="auto"/>
            <w:vAlign w:val="center"/>
          </w:tcPr>
          <w:p w14:paraId="7898CA8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实现采购管理、销售管理等为一体的管理，以成本管理为目标，计划与流程控制为主线，通过对成本目标及责任进行考核激励，推动管理者应用ERP等先进的管理模式和工具，为中小企业从云端提供完整的管理体系。</w:t>
            </w:r>
          </w:p>
        </w:tc>
        <w:tc>
          <w:tcPr>
            <w:tcW w:w="1548" w:type="dxa"/>
            <w:tcBorders>
              <w:top w:val="single" w:color="auto" w:sz="4" w:space="0"/>
              <w:left w:val="nil"/>
              <w:bottom w:val="single" w:color="auto" w:sz="4" w:space="0"/>
              <w:right w:val="single" w:color="auto" w:sz="4" w:space="0"/>
            </w:tcBorders>
            <w:shd w:val="clear" w:color="auto" w:fill="auto"/>
            <w:vAlign w:val="center"/>
          </w:tcPr>
          <w:p w14:paraId="189EB11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60" w:type="dxa"/>
            <w:tcBorders>
              <w:top w:val="single" w:color="auto" w:sz="4" w:space="0"/>
              <w:left w:val="nil"/>
              <w:bottom w:val="single" w:color="auto" w:sz="4" w:space="0"/>
              <w:right w:val="single" w:color="auto" w:sz="4" w:space="0"/>
            </w:tcBorders>
            <w:shd w:val="clear" w:color="auto" w:fill="auto"/>
            <w:vAlign w:val="center"/>
          </w:tcPr>
          <w:p w14:paraId="1AFD094A">
            <w:pPr>
              <w:spacing w:line="360" w:lineRule="auto"/>
              <w:jc w:val="center"/>
              <w:rPr>
                <w:rFonts w:hint="eastAsia" w:ascii="仿宋_GB2312" w:hAnsi="仿宋_GB2312" w:eastAsia="仿宋_GB2312" w:cs="仿宋_GB2312"/>
                <w:kern w:val="0"/>
                <w:sz w:val="24"/>
                <w:szCs w:val="24"/>
              </w:rPr>
            </w:pPr>
          </w:p>
        </w:tc>
      </w:tr>
    </w:tbl>
    <w:p w14:paraId="16F5F8FE">
      <w:pPr>
        <w:rPr>
          <w:rFonts w:hint="eastAsia" w:ascii="仿宋_GB2312" w:hAnsi="仿宋_GB2312" w:eastAsia="仿宋_GB2312" w:cs="仿宋_GB2312"/>
          <w:bCs/>
          <w:sz w:val="32"/>
          <w:szCs w:val="32"/>
        </w:rPr>
        <w:sectPr>
          <w:footerReference r:id="rId3" w:type="default"/>
          <w:pgSz w:w="16838" w:h="11906" w:orient="landscape"/>
          <w:pgMar w:top="1797" w:right="1440" w:bottom="1797" w:left="1440" w:header="851" w:footer="992" w:gutter="0"/>
          <w:cols w:space="720" w:num="1"/>
          <w:docGrid w:type="lines" w:linePitch="381" w:charSpace="0"/>
        </w:sectPr>
      </w:pPr>
    </w:p>
    <w:p w14:paraId="755DEE67">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 xml:space="preserve">（二）联合体成员：广州市卓石信息技术有限公司 </w:t>
      </w:r>
    </w:p>
    <w:tbl>
      <w:tblPr>
        <w:tblStyle w:val="14"/>
        <w:tblW w:w="13924" w:type="dxa"/>
        <w:tblInd w:w="113" w:type="dxa"/>
        <w:tblLayout w:type="autofit"/>
        <w:tblCellMar>
          <w:top w:w="0" w:type="dxa"/>
          <w:left w:w="108" w:type="dxa"/>
          <w:bottom w:w="0" w:type="dxa"/>
          <w:right w:w="108" w:type="dxa"/>
        </w:tblCellMar>
      </w:tblPr>
      <w:tblGrid>
        <w:gridCol w:w="806"/>
        <w:gridCol w:w="1512"/>
        <w:gridCol w:w="2921"/>
        <w:gridCol w:w="3794"/>
        <w:gridCol w:w="1552"/>
        <w:gridCol w:w="3339"/>
      </w:tblGrid>
      <w:tr w14:paraId="52CC9A9E">
        <w:tblPrEx>
          <w:tblCellMar>
            <w:top w:w="0" w:type="dxa"/>
            <w:left w:w="108" w:type="dxa"/>
            <w:bottom w:w="0" w:type="dxa"/>
            <w:right w:w="108" w:type="dxa"/>
          </w:tblCellMar>
        </w:tblPrEx>
        <w:trPr>
          <w:trHeight w:val="111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2F8FE639">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2" w:type="dxa"/>
            <w:tcBorders>
              <w:top w:val="single" w:color="auto" w:sz="4" w:space="0"/>
              <w:left w:val="nil"/>
              <w:bottom w:val="single" w:color="auto" w:sz="4" w:space="0"/>
              <w:right w:val="single" w:color="auto" w:sz="4" w:space="0"/>
            </w:tcBorders>
            <w:shd w:val="clear" w:color="auto" w:fill="auto"/>
            <w:vAlign w:val="center"/>
          </w:tcPr>
          <w:p w14:paraId="3E7FD579">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921" w:type="dxa"/>
            <w:tcBorders>
              <w:top w:val="single" w:color="auto" w:sz="4" w:space="0"/>
              <w:left w:val="nil"/>
              <w:bottom w:val="single" w:color="auto" w:sz="4" w:space="0"/>
              <w:right w:val="single" w:color="auto" w:sz="4" w:space="0"/>
            </w:tcBorders>
            <w:shd w:val="clear" w:color="auto" w:fill="auto"/>
            <w:vAlign w:val="center"/>
          </w:tcPr>
          <w:p w14:paraId="492D68B6">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794" w:type="dxa"/>
            <w:tcBorders>
              <w:top w:val="single" w:color="auto" w:sz="4" w:space="0"/>
              <w:left w:val="nil"/>
              <w:bottom w:val="single" w:color="auto" w:sz="4" w:space="0"/>
              <w:right w:val="single" w:color="auto" w:sz="4" w:space="0"/>
            </w:tcBorders>
            <w:shd w:val="clear" w:color="auto" w:fill="auto"/>
            <w:vAlign w:val="center"/>
          </w:tcPr>
          <w:p w14:paraId="6E16DB3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2" w:type="dxa"/>
            <w:tcBorders>
              <w:top w:val="single" w:color="auto" w:sz="4" w:space="0"/>
              <w:left w:val="nil"/>
              <w:bottom w:val="single" w:color="auto" w:sz="4" w:space="0"/>
              <w:right w:val="single" w:color="auto" w:sz="4" w:space="0"/>
            </w:tcBorders>
            <w:shd w:val="clear" w:color="auto" w:fill="auto"/>
            <w:vAlign w:val="center"/>
          </w:tcPr>
          <w:p w14:paraId="7DE4C9A8">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339" w:type="dxa"/>
            <w:tcBorders>
              <w:top w:val="single" w:color="auto" w:sz="4" w:space="0"/>
              <w:left w:val="nil"/>
              <w:bottom w:val="single" w:color="auto" w:sz="4" w:space="0"/>
              <w:right w:val="single" w:color="auto" w:sz="4" w:space="0"/>
            </w:tcBorders>
            <w:shd w:val="clear" w:color="auto" w:fill="auto"/>
            <w:vAlign w:val="center"/>
          </w:tcPr>
          <w:p w14:paraId="4D193BD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5B69CBA4">
        <w:tblPrEx>
          <w:tblCellMar>
            <w:top w:w="0" w:type="dxa"/>
            <w:left w:w="108" w:type="dxa"/>
            <w:bottom w:w="0" w:type="dxa"/>
            <w:right w:w="108" w:type="dxa"/>
          </w:tblCellMar>
        </w:tblPrEx>
        <w:trPr>
          <w:trHeight w:val="290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E54751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2" w:type="dxa"/>
            <w:tcBorders>
              <w:top w:val="single" w:color="auto" w:sz="4" w:space="0"/>
              <w:left w:val="nil"/>
              <w:bottom w:val="single" w:color="auto" w:sz="4" w:space="0"/>
              <w:right w:val="single" w:color="auto" w:sz="4" w:space="0"/>
            </w:tcBorders>
            <w:shd w:val="clear" w:color="auto" w:fill="auto"/>
            <w:vAlign w:val="center"/>
          </w:tcPr>
          <w:p w14:paraId="591DD1F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 K/3 Cloud</w:t>
            </w:r>
          </w:p>
        </w:tc>
        <w:tc>
          <w:tcPr>
            <w:tcW w:w="2921" w:type="dxa"/>
            <w:tcBorders>
              <w:top w:val="single" w:color="auto" w:sz="4" w:space="0"/>
              <w:left w:val="nil"/>
              <w:bottom w:val="single" w:color="auto" w:sz="4" w:space="0"/>
              <w:right w:val="single" w:color="auto" w:sz="4" w:space="0"/>
            </w:tcBorders>
            <w:shd w:val="clear" w:color="auto" w:fill="auto"/>
            <w:vAlign w:val="center"/>
          </w:tcPr>
          <w:p w14:paraId="680C06C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它可以帮助中小企业实现数字化转型，提高管理效率和业务创新能力。</w:t>
            </w:r>
          </w:p>
        </w:tc>
        <w:tc>
          <w:tcPr>
            <w:tcW w:w="3794" w:type="dxa"/>
            <w:tcBorders>
              <w:top w:val="single" w:color="auto" w:sz="4" w:space="0"/>
              <w:left w:val="nil"/>
              <w:bottom w:val="single" w:color="auto" w:sz="4" w:space="0"/>
              <w:right w:val="single" w:color="auto" w:sz="4" w:space="0"/>
            </w:tcBorders>
            <w:shd w:val="clear" w:color="auto" w:fill="auto"/>
            <w:vAlign w:val="center"/>
          </w:tcPr>
          <w:p w14:paraId="306D06A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包含PaaS平台和员工服务云、财税云、供应链云、人力资源云、项目云、协同云等多个领域的SaaS服务以及基于云原生的企业级PaaS服务 。</w:t>
            </w:r>
          </w:p>
        </w:tc>
        <w:tc>
          <w:tcPr>
            <w:tcW w:w="1552" w:type="dxa"/>
            <w:tcBorders>
              <w:top w:val="single" w:color="auto" w:sz="4" w:space="0"/>
              <w:left w:val="nil"/>
              <w:bottom w:val="single" w:color="auto" w:sz="4" w:space="0"/>
              <w:right w:val="single" w:color="auto" w:sz="4" w:space="0"/>
            </w:tcBorders>
            <w:shd w:val="clear" w:color="auto" w:fill="auto"/>
            <w:vAlign w:val="center"/>
          </w:tcPr>
          <w:p w14:paraId="61A48F3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39" w:type="dxa"/>
            <w:tcBorders>
              <w:top w:val="single" w:color="auto" w:sz="4" w:space="0"/>
              <w:left w:val="nil"/>
              <w:bottom w:val="single" w:color="auto" w:sz="4" w:space="0"/>
              <w:right w:val="single" w:color="auto" w:sz="4" w:space="0"/>
            </w:tcBorders>
            <w:shd w:val="clear" w:color="auto" w:fill="auto"/>
            <w:vAlign w:val="center"/>
          </w:tcPr>
          <w:p w14:paraId="01169EA1">
            <w:pPr>
              <w:spacing w:line="360" w:lineRule="auto"/>
              <w:jc w:val="center"/>
              <w:rPr>
                <w:rFonts w:hint="eastAsia" w:ascii="仿宋_GB2312" w:hAnsi="仿宋_GB2312" w:eastAsia="仿宋_GB2312" w:cs="仿宋_GB2312"/>
                <w:kern w:val="0"/>
                <w:sz w:val="24"/>
                <w:szCs w:val="24"/>
              </w:rPr>
            </w:pPr>
          </w:p>
        </w:tc>
      </w:tr>
      <w:tr w14:paraId="7E60FDBD">
        <w:tblPrEx>
          <w:tblCellMar>
            <w:top w:w="0" w:type="dxa"/>
            <w:left w:w="108" w:type="dxa"/>
            <w:bottom w:w="0" w:type="dxa"/>
            <w:right w:w="108" w:type="dxa"/>
          </w:tblCellMar>
        </w:tblPrEx>
        <w:trPr>
          <w:trHeight w:val="3534"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4B6286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2" w:type="dxa"/>
            <w:tcBorders>
              <w:top w:val="single" w:color="auto" w:sz="4" w:space="0"/>
              <w:left w:val="nil"/>
              <w:bottom w:val="single" w:color="auto" w:sz="4" w:space="0"/>
              <w:right w:val="single" w:color="auto" w:sz="4" w:space="0"/>
            </w:tcBorders>
            <w:shd w:val="clear" w:color="auto" w:fill="auto"/>
            <w:vAlign w:val="center"/>
          </w:tcPr>
          <w:p w14:paraId="5B379D8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金蝶PLM</w:t>
            </w:r>
          </w:p>
        </w:tc>
        <w:tc>
          <w:tcPr>
            <w:tcW w:w="2921" w:type="dxa"/>
            <w:tcBorders>
              <w:top w:val="single" w:color="auto" w:sz="4" w:space="0"/>
              <w:left w:val="nil"/>
              <w:bottom w:val="single" w:color="auto" w:sz="4" w:space="0"/>
              <w:right w:val="single" w:color="auto" w:sz="4" w:space="0"/>
            </w:tcBorders>
            <w:shd w:val="clear" w:color="auto" w:fill="auto"/>
            <w:vAlign w:val="center"/>
          </w:tcPr>
          <w:p w14:paraId="7FA315C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星空PLM不再拘泥于传统的将物料/BOM数据从PLM传递给ERP系统，而是真正从全生命周期管理的视角，将企业在产品研发业务中涉及到的采购、试制、质量控制与追述、售后服务等领域，通过端到端的流程对接实现真正意义上的研发生产一体化；</w:t>
            </w:r>
          </w:p>
        </w:tc>
        <w:tc>
          <w:tcPr>
            <w:tcW w:w="3794" w:type="dxa"/>
            <w:tcBorders>
              <w:top w:val="single" w:color="auto" w:sz="4" w:space="0"/>
              <w:left w:val="nil"/>
              <w:bottom w:val="single" w:color="auto" w:sz="4" w:space="0"/>
              <w:right w:val="single" w:color="auto" w:sz="4" w:space="0"/>
            </w:tcBorders>
            <w:shd w:val="clear" w:color="auto" w:fill="auto"/>
            <w:vAlign w:val="center"/>
          </w:tcPr>
          <w:p w14:paraId="2E87C6B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企业在产品研发业务中涉及到的采购、试制、质量控制与追述、售后服务等领域，通过端到端的流程对接实现真正意义上的研发生产一体化；</w:t>
            </w:r>
          </w:p>
        </w:tc>
        <w:tc>
          <w:tcPr>
            <w:tcW w:w="1552" w:type="dxa"/>
            <w:tcBorders>
              <w:top w:val="single" w:color="auto" w:sz="4" w:space="0"/>
              <w:left w:val="nil"/>
              <w:bottom w:val="single" w:color="auto" w:sz="4" w:space="0"/>
              <w:right w:val="single" w:color="auto" w:sz="4" w:space="0"/>
            </w:tcBorders>
            <w:shd w:val="clear" w:color="auto" w:fill="auto"/>
            <w:vAlign w:val="center"/>
          </w:tcPr>
          <w:p w14:paraId="29E0314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按功能模块和用户数计价，按年租赁；每个功能模块800-10000元/年不等，每增加一个用户按1000元/用户收费</w:t>
            </w:r>
          </w:p>
        </w:tc>
        <w:tc>
          <w:tcPr>
            <w:tcW w:w="3339" w:type="dxa"/>
            <w:tcBorders>
              <w:top w:val="single" w:color="auto" w:sz="4" w:space="0"/>
              <w:left w:val="nil"/>
              <w:bottom w:val="single" w:color="auto" w:sz="4" w:space="0"/>
              <w:right w:val="single" w:color="auto" w:sz="4" w:space="0"/>
            </w:tcBorders>
            <w:shd w:val="clear" w:color="auto" w:fill="auto"/>
            <w:vAlign w:val="center"/>
          </w:tcPr>
          <w:p w14:paraId="18CF4ADC">
            <w:pPr>
              <w:spacing w:line="360" w:lineRule="auto"/>
              <w:jc w:val="center"/>
              <w:rPr>
                <w:rFonts w:hint="eastAsia" w:ascii="仿宋_GB2312" w:hAnsi="仿宋_GB2312" w:eastAsia="仿宋_GB2312" w:cs="仿宋_GB2312"/>
                <w:kern w:val="0"/>
                <w:sz w:val="24"/>
                <w:szCs w:val="24"/>
              </w:rPr>
            </w:pPr>
          </w:p>
        </w:tc>
      </w:tr>
      <w:tr w14:paraId="5C5F8F75">
        <w:tblPrEx>
          <w:tblCellMar>
            <w:top w:w="0" w:type="dxa"/>
            <w:left w:w="108" w:type="dxa"/>
            <w:bottom w:w="0" w:type="dxa"/>
            <w:right w:w="108" w:type="dxa"/>
          </w:tblCellMar>
        </w:tblPrEx>
        <w:trPr>
          <w:trHeight w:val="2500"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9F3315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2" w:type="dxa"/>
            <w:tcBorders>
              <w:top w:val="single" w:color="auto" w:sz="4" w:space="0"/>
              <w:left w:val="nil"/>
              <w:bottom w:val="single" w:color="auto" w:sz="4" w:space="0"/>
              <w:right w:val="single" w:color="auto" w:sz="4" w:space="0"/>
            </w:tcBorders>
            <w:shd w:val="clear" w:color="auto" w:fill="auto"/>
            <w:vAlign w:val="center"/>
          </w:tcPr>
          <w:p w14:paraId="31B9F12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金蝶管易云</w:t>
            </w:r>
          </w:p>
        </w:tc>
        <w:tc>
          <w:tcPr>
            <w:tcW w:w="2921" w:type="dxa"/>
            <w:tcBorders>
              <w:top w:val="single" w:color="auto" w:sz="4" w:space="0"/>
              <w:left w:val="nil"/>
              <w:bottom w:val="single" w:color="auto" w:sz="4" w:space="0"/>
              <w:right w:val="single" w:color="auto" w:sz="4" w:space="0"/>
            </w:tcBorders>
            <w:shd w:val="clear" w:color="auto" w:fill="auto"/>
            <w:vAlign w:val="center"/>
          </w:tcPr>
          <w:p w14:paraId="4564AD9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助企业管理做出决策与改善指标，有效提升企业管理效率，提高准确度与及时性。</w:t>
            </w:r>
          </w:p>
        </w:tc>
        <w:tc>
          <w:tcPr>
            <w:tcW w:w="3794" w:type="dxa"/>
            <w:tcBorders>
              <w:top w:val="single" w:color="auto" w:sz="4" w:space="0"/>
              <w:left w:val="nil"/>
              <w:bottom w:val="single" w:color="auto" w:sz="4" w:space="0"/>
              <w:right w:val="single" w:color="auto" w:sz="4" w:space="0"/>
            </w:tcBorders>
            <w:shd w:val="clear" w:color="auto" w:fill="auto"/>
            <w:vAlign w:val="center"/>
          </w:tcPr>
          <w:p w14:paraId="42639C6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各电销各平台接到订单，安排对应的仓库打单发货的全过程管控，及时看到最新库情况，了解各平台的销售情况，从而合理的安排计划和采购，确保平台不超卖，不断货，让企业的经营数据，时时清楚，仓库的管理更规范</w:t>
            </w:r>
          </w:p>
        </w:tc>
        <w:tc>
          <w:tcPr>
            <w:tcW w:w="1552" w:type="dxa"/>
            <w:tcBorders>
              <w:top w:val="single" w:color="auto" w:sz="4" w:space="0"/>
              <w:left w:val="nil"/>
              <w:bottom w:val="single" w:color="auto" w:sz="4" w:space="0"/>
              <w:right w:val="single" w:color="auto" w:sz="4" w:space="0"/>
            </w:tcBorders>
            <w:shd w:val="clear" w:color="auto" w:fill="auto"/>
            <w:vAlign w:val="center"/>
          </w:tcPr>
          <w:p w14:paraId="0274A1A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3万元-100万元</w:t>
            </w:r>
          </w:p>
        </w:tc>
        <w:tc>
          <w:tcPr>
            <w:tcW w:w="3339" w:type="dxa"/>
            <w:tcBorders>
              <w:top w:val="single" w:color="auto" w:sz="4" w:space="0"/>
              <w:left w:val="nil"/>
              <w:bottom w:val="single" w:color="auto" w:sz="4" w:space="0"/>
              <w:right w:val="single" w:color="auto" w:sz="4" w:space="0"/>
            </w:tcBorders>
            <w:shd w:val="clear" w:color="auto" w:fill="auto"/>
            <w:vAlign w:val="center"/>
          </w:tcPr>
          <w:p w14:paraId="4F6AED12">
            <w:pPr>
              <w:spacing w:line="360" w:lineRule="auto"/>
              <w:jc w:val="center"/>
              <w:rPr>
                <w:rFonts w:hint="eastAsia" w:ascii="仿宋_GB2312" w:hAnsi="仿宋_GB2312" w:eastAsia="仿宋_GB2312" w:cs="仿宋_GB2312"/>
                <w:kern w:val="0"/>
                <w:sz w:val="24"/>
                <w:szCs w:val="24"/>
              </w:rPr>
            </w:pPr>
          </w:p>
        </w:tc>
      </w:tr>
    </w:tbl>
    <w:p w14:paraId="590F5BEF">
      <w:pPr>
        <w:rPr>
          <w:rFonts w:hint="eastAsia" w:ascii="仿宋_GB2312" w:hAnsi="仿宋_GB2312" w:eastAsia="仿宋_GB2312" w:cs="仿宋_GB2312"/>
          <w:bCs/>
          <w:sz w:val="32"/>
          <w:szCs w:val="32"/>
        </w:rPr>
      </w:pPr>
    </w:p>
    <w:p w14:paraId="3D46D743">
      <w:pPr>
        <w:rPr>
          <w:rFonts w:hint="eastAsia" w:ascii="仿宋_GB2312" w:hAnsi="仿宋_GB2312" w:eastAsia="仿宋_GB2312" w:cs="仿宋_GB2312"/>
          <w:bCs/>
          <w:sz w:val="32"/>
          <w:szCs w:val="32"/>
        </w:rPr>
        <w:sectPr>
          <w:pgSz w:w="16838" w:h="11906" w:orient="landscape"/>
          <w:pgMar w:top="1797" w:right="1440" w:bottom="1797" w:left="1440" w:header="851" w:footer="992" w:gutter="0"/>
          <w:cols w:space="720" w:num="1"/>
          <w:docGrid w:type="lines" w:linePitch="381" w:charSpace="0"/>
        </w:sectPr>
      </w:pPr>
    </w:p>
    <w:p w14:paraId="61BCED58">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 xml:space="preserve">（三）联合体成员：中国电信股份有限公司佛山分公司 </w:t>
      </w:r>
    </w:p>
    <w:tbl>
      <w:tblPr>
        <w:tblStyle w:val="14"/>
        <w:tblW w:w="0" w:type="auto"/>
        <w:tblInd w:w="113" w:type="dxa"/>
        <w:tblLayout w:type="autofit"/>
        <w:tblCellMar>
          <w:top w:w="0" w:type="dxa"/>
          <w:left w:w="108" w:type="dxa"/>
          <w:bottom w:w="0" w:type="dxa"/>
          <w:right w:w="108" w:type="dxa"/>
        </w:tblCellMar>
      </w:tblPr>
      <w:tblGrid>
        <w:gridCol w:w="800"/>
        <w:gridCol w:w="1500"/>
        <w:gridCol w:w="3113"/>
        <w:gridCol w:w="3545"/>
        <w:gridCol w:w="1539"/>
        <w:gridCol w:w="3956"/>
      </w:tblGrid>
      <w:tr w14:paraId="4E528EE1">
        <w:tblPrEx>
          <w:tblCellMar>
            <w:top w:w="0" w:type="dxa"/>
            <w:left w:w="108" w:type="dxa"/>
            <w:bottom w:w="0" w:type="dxa"/>
            <w:right w:w="108" w:type="dxa"/>
          </w:tblCellMar>
        </w:tblPrEx>
        <w:trPr>
          <w:trHeight w:val="902"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27EA382A">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00" w:type="dxa"/>
            <w:tcBorders>
              <w:top w:val="single" w:color="auto" w:sz="4" w:space="0"/>
              <w:left w:val="nil"/>
              <w:bottom w:val="single" w:color="auto" w:sz="4" w:space="0"/>
              <w:right w:val="single" w:color="auto" w:sz="4" w:space="0"/>
            </w:tcBorders>
            <w:shd w:val="clear" w:color="auto" w:fill="auto"/>
            <w:vAlign w:val="center"/>
          </w:tcPr>
          <w:p w14:paraId="5F796C03">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113" w:type="dxa"/>
            <w:tcBorders>
              <w:top w:val="single" w:color="auto" w:sz="4" w:space="0"/>
              <w:left w:val="nil"/>
              <w:bottom w:val="single" w:color="auto" w:sz="4" w:space="0"/>
              <w:right w:val="single" w:color="auto" w:sz="4" w:space="0"/>
            </w:tcBorders>
            <w:shd w:val="clear" w:color="auto" w:fill="auto"/>
            <w:vAlign w:val="center"/>
          </w:tcPr>
          <w:p w14:paraId="5031973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545" w:type="dxa"/>
            <w:tcBorders>
              <w:top w:val="single" w:color="auto" w:sz="4" w:space="0"/>
              <w:left w:val="nil"/>
              <w:bottom w:val="single" w:color="auto" w:sz="4" w:space="0"/>
              <w:right w:val="single" w:color="auto" w:sz="4" w:space="0"/>
            </w:tcBorders>
            <w:shd w:val="clear" w:color="auto" w:fill="auto"/>
            <w:vAlign w:val="center"/>
          </w:tcPr>
          <w:p w14:paraId="1983EB6F">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39" w:type="dxa"/>
            <w:tcBorders>
              <w:top w:val="single" w:color="auto" w:sz="4" w:space="0"/>
              <w:left w:val="nil"/>
              <w:bottom w:val="single" w:color="auto" w:sz="4" w:space="0"/>
              <w:right w:val="single" w:color="auto" w:sz="4" w:space="0"/>
            </w:tcBorders>
            <w:shd w:val="clear" w:color="auto" w:fill="auto"/>
            <w:vAlign w:val="center"/>
          </w:tcPr>
          <w:p w14:paraId="74EBC6DB">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56" w:type="dxa"/>
            <w:tcBorders>
              <w:top w:val="single" w:color="auto" w:sz="4" w:space="0"/>
              <w:left w:val="nil"/>
              <w:bottom w:val="single" w:color="auto" w:sz="4" w:space="0"/>
              <w:right w:val="single" w:color="auto" w:sz="4" w:space="0"/>
            </w:tcBorders>
            <w:shd w:val="clear" w:color="auto" w:fill="auto"/>
            <w:vAlign w:val="center"/>
          </w:tcPr>
          <w:p w14:paraId="1438AEFB">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C2E1C49">
        <w:tblPrEx>
          <w:tblCellMar>
            <w:top w:w="0" w:type="dxa"/>
            <w:left w:w="108" w:type="dxa"/>
            <w:bottom w:w="0" w:type="dxa"/>
            <w:right w:w="108" w:type="dxa"/>
          </w:tblCellMar>
        </w:tblPrEx>
        <w:trPr>
          <w:trHeight w:val="182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0402F8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00" w:type="dxa"/>
            <w:tcBorders>
              <w:top w:val="single" w:color="auto" w:sz="4" w:space="0"/>
              <w:left w:val="nil"/>
              <w:bottom w:val="single" w:color="auto" w:sz="4" w:space="0"/>
              <w:right w:val="single" w:color="auto" w:sz="4" w:space="0"/>
            </w:tcBorders>
            <w:shd w:val="clear" w:color="auto" w:fill="auto"/>
            <w:vAlign w:val="center"/>
          </w:tcPr>
          <w:p w14:paraId="496BDCB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工业PON</w:t>
            </w:r>
          </w:p>
        </w:tc>
        <w:tc>
          <w:tcPr>
            <w:tcW w:w="3113" w:type="dxa"/>
            <w:tcBorders>
              <w:top w:val="single" w:color="auto" w:sz="4" w:space="0"/>
              <w:left w:val="nil"/>
              <w:bottom w:val="single" w:color="auto" w:sz="4" w:space="0"/>
              <w:right w:val="single" w:color="auto" w:sz="4" w:space="0"/>
            </w:tcBorders>
            <w:shd w:val="clear" w:color="auto" w:fill="auto"/>
            <w:vAlign w:val="center"/>
          </w:tcPr>
          <w:p w14:paraId="49FFBC7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用于工业企业内网建设和改造，采用无源光网络（PON）技术为园区、企业独立组网，可承载企业生产、办公、安防等业务的数据传输， 满足企业新建网络和改造网络的需求。</w:t>
            </w:r>
          </w:p>
        </w:tc>
        <w:tc>
          <w:tcPr>
            <w:tcW w:w="3545" w:type="dxa"/>
            <w:tcBorders>
              <w:top w:val="single" w:color="auto" w:sz="4" w:space="0"/>
              <w:left w:val="nil"/>
              <w:bottom w:val="single" w:color="auto" w:sz="4" w:space="0"/>
              <w:right w:val="single" w:color="auto" w:sz="4" w:space="0"/>
            </w:tcBorders>
            <w:shd w:val="clear" w:color="auto" w:fill="auto"/>
            <w:vAlign w:val="center"/>
          </w:tcPr>
          <w:p w14:paraId="72EED6F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工厂内各种设备运行数据、生产数据的采集与传输</w:t>
            </w:r>
          </w:p>
        </w:tc>
        <w:tc>
          <w:tcPr>
            <w:tcW w:w="1539" w:type="dxa"/>
            <w:tcBorders>
              <w:top w:val="single" w:color="auto" w:sz="4" w:space="0"/>
              <w:left w:val="nil"/>
              <w:bottom w:val="single" w:color="auto" w:sz="4" w:space="0"/>
              <w:right w:val="single" w:color="auto" w:sz="4" w:space="0"/>
            </w:tcBorders>
            <w:shd w:val="clear" w:color="auto" w:fill="auto"/>
            <w:vAlign w:val="center"/>
          </w:tcPr>
          <w:p w14:paraId="4FBA57A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0.3万元-20万元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3AC0FD2E">
            <w:pPr>
              <w:spacing w:line="360" w:lineRule="auto"/>
              <w:jc w:val="center"/>
              <w:rPr>
                <w:rFonts w:hint="eastAsia" w:ascii="仿宋_GB2312" w:hAnsi="仿宋_GB2312" w:eastAsia="仿宋_GB2312" w:cs="仿宋_GB2312"/>
                <w:kern w:val="0"/>
                <w:sz w:val="24"/>
                <w:szCs w:val="24"/>
              </w:rPr>
            </w:pPr>
          </w:p>
        </w:tc>
      </w:tr>
      <w:tr w14:paraId="309907CD">
        <w:tblPrEx>
          <w:tblCellMar>
            <w:top w:w="0" w:type="dxa"/>
            <w:left w:w="108" w:type="dxa"/>
            <w:bottom w:w="0" w:type="dxa"/>
            <w:right w:w="108" w:type="dxa"/>
          </w:tblCellMar>
        </w:tblPrEx>
        <w:trPr>
          <w:trHeight w:val="7713"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4FFFFF4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00" w:type="dxa"/>
            <w:tcBorders>
              <w:top w:val="single" w:color="auto" w:sz="4" w:space="0"/>
              <w:left w:val="nil"/>
              <w:bottom w:val="single" w:color="auto" w:sz="4" w:space="0"/>
              <w:right w:val="single" w:color="auto" w:sz="4" w:space="0"/>
            </w:tcBorders>
            <w:shd w:val="clear" w:color="auto" w:fill="auto"/>
            <w:vAlign w:val="center"/>
          </w:tcPr>
          <w:p w14:paraId="2AF109B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工业安全防护</w:t>
            </w:r>
          </w:p>
        </w:tc>
        <w:tc>
          <w:tcPr>
            <w:tcW w:w="3113" w:type="dxa"/>
            <w:tcBorders>
              <w:top w:val="single" w:color="auto" w:sz="4" w:space="0"/>
              <w:left w:val="nil"/>
              <w:bottom w:val="single" w:color="auto" w:sz="4" w:space="0"/>
              <w:right w:val="single" w:color="auto" w:sz="4" w:space="0"/>
            </w:tcBorders>
            <w:shd w:val="clear" w:color="auto" w:fill="auto"/>
            <w:vAlign w:val="center"/>
          </w:tcPr>
          <w:p w14:paraId="7C0E2018">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业生产网防护：专用于工控场景进行边界安全逻辑隔离。采用多种技术手段，实施四重白名单的深度防御和一体化引擎机制，既实现了工业安全的深度安全要求，又满足工业安全的低时延要求。满足IP40、全封闭、无风扇、宽温、防潮防腐蚀、抗震、冗余电源等工业级可靠性和稳定性要求，有效确保了工业网络内外部的边界安全。</w:t>
            </w:r>
          </w:p>
          <w:p w14:paraId="44F23387">
            <w:pPr>
              <w:widowControl/>
              <w:spacing w:line="360" w:lineRule="auto"/>
              <w:jc w:val="center"/>
              <w:textAlignment w:val="center"/>
              <w:rPr>
                <w:rFonts w:hint="eastAsia" w:ascii="宋体" w:hAnsi="宋体" w:eastAsia="宋体" w:cs="宋体"/>
                <w:color w:val="000000"/>
                <w:kern w:val="0"/>
                <w:sz w:val="18"/>
                <w:szCs w:val="18"/>
                <w:lang w:bidi="ar"/>
              </w:rPr>
            </w:pPr>
          </w:p>
          <w:p w14:paraId="1AAF90CC">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全大脑：按照相关网络安全标准要求，实现一个中心三重防护。将安全服务化，打造安全基础设施平台，提供云化安全监测和服务能力。对比市面上同类型产品，在成本、License更新、可视化威胁感知、安全月报、电信服务方面更有优势，可提供24小时无间断安全防护服务，为企业降本增效。</w:t>
            </w:r>
          </w:p>
          <w:p w14:paraId="5C5291EA">
            <w:pPr>
              <w:widowControl/>
              <w:spacing w:line="360" w:lineRule="auto"/>
              <w:jc w:val="center"/>
              <w:textAlignment w:val="center"/>
              <w:rPr>
                <w:rFonts w:hint="eastAsia" w:ascii="宋体" w:hAnsi="宋体" w:eastAsia="宋体" w:cs="宋体"/>
                <w:color w:val="000000"/>
                <w:kern w:val="0"/>
                <w:sz w:val="18"/>
                <w:szCs w:val="18"/>
                <w:lang w:bidi="ar"/>
              </w:rPr>
            </w:pPr>
          </w:p>
          <w:p w14:paraId="66B4938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新一代安全服务：提供丰富的边界安全防护能力，在传统的访问控制基础上，支持集成VPN、应用识别、IPS入侵防御、AV防病毒、web防护、url过滤及僵木蠕检测等安全模块，能够全方位的帮助企业构筑可靠、稳定、可信的新一代网络安全架构。</w:t>
            </w:r>
          </w:p>
        </w:tc>
        <w:tc>
          <w:tcPr>
            <w:tcW w:w="3545" w:type="dxa"/>
            <w:tcBorders>
              <w:top w:val="single" w:color="auto" w:sz="4" w:space="0"/>
              <w:left w:val="nil"/>
              <w:bottom w:val="single" w:color="auto" w:sz="4" w:space="0"/>
              <w:right w:val="single" w:color="auto" w:sz="4" w:space="0"/>
            </w:tcBorders>
            <w:shd w:val="clear" w:color="auto" w:fill="auto"/>
            <w:vAlign w:val="center"/>
          </w:tcPr>
          <w:p w14:paraId="388B7901">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工业生产网防护：一款针对互联网协议及工业协议的安全服务，满足特殊工业控制系统安全防护要求，实现生产网与互联网、办公网的逻辑隔离</w:t>
            </w:r>
          </w:p>
          <w:p w14:paraId="59ADFD98">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安全大脑：提供云端的数据存储及安全事件分析，联动天翼安全网关进行必要时的策略阻断</w:t>
            </w:r>
          </w:p>
          <w:p w14:paraId="02E68F1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新一代安全服务：终端安全，集成VPN、应用识别、IPS，入侵防御、AV防病毒、web防护、url过滤及僵木蠕检测</w:t>
            </w:r>
          </w:p>
        </w:tc>
        <w:tc>
          <w:tcPr>
            <w:tcW w:w="1539" w:type="dxa"/>
            <w:tcBorders>
              <w:top w:val="single" w:color="auto" w:sz="4" w:space="0"/>
              <w:left w:val="nil"/>
              <w:bottom w:val="single" w:color="auto" w:sz="4" w:space="0"/>
              <w:right w:val="single" w:color="auto" w:sz="4" w:space="0"/>
            </w:tcBorders>
            <w:shd w:val="clear" w:color="auto" w:fill="auto"/>
            <w:vAlign w:val="center"/>
          </w:tcPr>
          <w:p w14:paraId="620BCA74">
            <w:pPr>
              <w:widowControl/>
              <w:spacing w:line="360" w:lineRule="auto"/>
              <w:jc w:val="center"/>
              <w:textAlignment w:val="center"/>
              <w:rPr>
                <w:rFonts w:hint="eastAsia" w:ascii="宋体" w:hAnsi="宋体" w:eastAsia="宋体" w:cs="宋体"/>
                <w:color w:val="000000"/>
                <w:kern w:val="0"/>
                <w:sz w:val="18"/>
                <w:szCs w:val="18"/>
                <w:lang w:bidi="ar"/>
              </w:rPr>
            </w:pPr>
            <w:r>
              <w:rPr>
                <w:rFonts w:hint="eastAsia" w:ascii="宋体" w:hAnsi="宋体" w:eastAsia="宋体" w:cs="宋体"/>
                <w:color w:val="000000"/>
                <w:kern w:val="0"/>
                <w:sz w:val="18"/>
                <w:szCs w:val="18"/>
                <w:lang w:bidi="ar"/>
              </w:rPr>
              <w:t>0.3万元-20万元</w:t>
            </w:r>
          </w:p>
          <w:p w14:paraId="7962BC5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或按实际使用档次收费</w:t>
            </w:r>
          </w:p>
        </w:tc>
        <w:tc>
          <w:tcPr>
            <w:tcW w:w="3956" w:type="dxa"/>
            <w:tcBorders>
              <w:top w:val="single" w:color="auto" w:sz="4" w:space="0"/>
              <w:left w:val="nil"/>
              <w:bottom w:val="single" w:color="auto" w:sz="4" w:space="0"/>
              <w:right w:val="single" w:color="auto" w:sz="4" w:space="0"/>
            </w:tcBorders>
            <w:shd w:val="clear" w:color="auto" w:fill="auto"/>
            <w:vAlign w:val="center"/>
          </w:tcPr>
          <w:p w14:paraId="5BDFBA7B">
            <w:pPr>
              <w:spacing w:line="360" w:lineRule="auto"/>
              <w:jc w:val="center"/>
              <w:rPr>
                <w:rFonts w:hint="eastAsia" w:ascii="仿宋_GB2312" w:hAnsi="仿宋_GB2312" w:eastAsia="仿宋_GB2312" w:cs="仿宋_GB2312"/>
                <w:kern w:val="0"/>
                <w:sz w:val="24"/>
                <w:szCs w:val="24"/>
              </w:rPr>
            </w:pPr>
          </w:p>
        </w:tc>
      </w:tr>
      <w:tr w14:paraId="41EDD4F5">
        <w:tblPrEx>
          <w:tblCellMar>
            <w:top w:w="0" w:type="dxa"/>
            <w:left w:w="108" w:type="dxa"/>
            <w:bottom w:w="0" w:type="dxa"/>
            <w:right w:w="108" w:type="dxa"/>
          </w:tblCellMar>
        </w:tblPrEx>
        <w:trPr>
          <w:trHeight w:val="4028"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9CD001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00" w:type="dxa"/>
            <w:tcBorders>
              <w:top w:val="single" w:color="auto" w:sz="4" w:space="0"/>
              <w:left w:val="nil"/>
              <w:bottom w:val="single" w:color="auto" w:sz="4" w:space="0"/>
              <w:right w:val="single" w:color="auto" w:sz="4" w:space="0"/>
            </w:tcBorders>
            <w:shd w:val="clear" w:color="auto" w:fill="auto"/>
            <w:vAlign w:val="center"/>
          </w:tcPr>
          <w:p w14:paraId="48894A2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小翼数采</w:t>
            </w:r>
          </w:p>
        </w:tc>
        <w:tc>
          <w:tcPr>
            <w:tcW w:w="3113" w:type="dxa"/>
            <w:tcBorders>
              <w:top w:val="single" w:color="auto" w:sz="4" w:space="0"/>
              <w:left w:val="nil"/>
              <w:bottom w:val="single" w:color="auto" w:sz="4" w:space="0"/>
              <w:right w:val="single" w:color="auto" w:sz="4" w:space="0"/>
            </w:tcBorders>
            <w:shd w:val="clear" w:color="auto" w:fill="auto"/>
            <w:vAlign w:val="center"/>
          </w:tcPr>
          <w:p w14:paraId="55EF4F5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实现工厂PLC设备接入、单片机设备、仪器仪表的接入和实现已有应用系统的互联互通；通过大数据汇总分析数据信息方式为厂家、消费者提供APP智能设备管理应用，方便使用者对设备运行情况进行查看与管控</w:t>
            </w:r>
          </w:p>
        </w:tc>
        <w:tc>
          <w:tcPr>
            <w:tcW w:w="3545" w:type="dxa"/>
            <w:tcBorders>
              <w:top w:val="single" w:color="auto" w:sz="4" w:space="0"/>
              <w:left w:val="nil"/>
              <w:bottom w:val="single" w:color="auto" w:sz="4" w:space="0"/>
              <w:right w:val="single" w:color="auto" w:sz="4" w:space="0"/>
            </w:tcBorders>
            <w:shd w:val="clear" w:color="auto" w:fill="auto"/>
            <w:vAlign w:val="center"/>
          </w:tcPr>
          <w:p w14:paraId="58C31F1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平台以工业协议云端适配为基础，面向电子、石化、家电、装备制造、纺织、汽车等生产制造企业，基于4/5G、NB、LoRa通讯提供动态协议接入能力，实现工厂PLC、单片机、仪器仪表等设备的接入和数据采集，并对接已有MES、ERP等系统；提供设备数据采集、设备产能分析（设备稼动率/OEE分析）、设备数据安全、设备运维管理（自检、巡检、点检）、看板管理、ESOP等功能，方便用户对设备运行情况进行实时监控和设备日常运维管理。</w:t>
            </w:r>
          </w:p>
        </w:tc>
        <w:tc>
          <w:tcPr>
            <w:tcW w:w="1539" w:type="dxa"/>
            <w:tcBorders>
              <w:top w:val="single" w:color="auto" w:sz="4" w:space="0"/>
              <w:left w:val="nil"/>
              <w:bottom w:val="single" w:color="auto" w:sz="4" w:space="0"/>
              <w:right w:val="single" w:color="auto" w:sz="4" w:space="0"/>
            </w:tcBorders>
            <w:shd w:val="clear" w:color="auto" w:fill="auto"/>
            <w:vAlign w:val="center"/>
          </w:tcPr>
          <w:p w14:paraId="508C531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0万元-20万元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325CEA8E">
            <w:pPr>
              <w:spacing w:line="360" w:lineRule="auto"/>
              <w:jc w:val="center"/>
              <w:rPr>
                <w:rFonts w:hint="eastAsia" w:ascii="仿宋_GB2312" w:hAnsi="仿宋_GB2312" w:eastAsia="仿宋_GB2312" w:cs="仿宋_GB2312"/>
                <w:kern w:val="0"/>
                <w:sz w:val="24"/>
                <w:szCs w:val="24"/>
              </w:rPr>
            </w:pPr>
          </w:p>
        </w:tc>
      </w:tr>
      <w:tr w14:paraId="581BDB20">
        <w:tblPrEx>
          <w:tblCellMar>
            <w:top w:w="0" w:type="dxa"/>
            <w:left w:w="108" w:type="dxa"/>
            <w:bottom w:w="0" w:type="dxa"/>
            <w:right w:w="108" w:type="dxa"/>
          </w:tblCellMar>
        </w:tblPrEx>
        <w:trPr>
          <w:trHeight w:val="2862"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C0F9E9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w:t>
            </w:r>
          </w:p>
        </w:tc>
        <w:tc>
          <w:tcPr>
            <w:tcW w:w="1500" w:type="dxa"/>
            <w:tcBorders>
              <w:top w:val="single" w:color="auto" w:sz="4" w:space="0"/>
              <w:left w:val="nil"/>
              <w:bottom w:val="single" w:color="auto" w:sz="4" w:space="0"/>
              <w:right w:val="single" w:color="auto" w:sz="4" w:space="0"/>
            </w:tcBorders>
            <w:shd w:val="clear" w:color="auto" w:fill="auto"/>
            <w:vAlign w:val="center"/>
          </w:tcPr>
          <w:p w14:paraId="5E43A35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小翼MES</w:t>
            </w:r>
          </w:p>
        </w:tc>
        <w:tc>
          <w:tcPr>
            <w:tcW w:w="3113" w:type="dxa"/>
            <w:tcBorders>
              <w:top w:val="single" w:color="auto" w:sz="4" w:space="0"/>
              <w:left w:val="nil"/>
              <w:bottom w:val="single" w:color="auto" w:sz="4" w:space="0"/>
              <w:right w:val="single" w:color="auto" w:sz="4" w:space="0"/>
            </w:tcBorders>
            <w:shd w:val="clear" w:color="auto" w:fill="auto"/>
            <w:vAlign w:val="center"/>
          </w:tcPr>
          <w:p w14:paraId="63DDA84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MES通过云ERP结合云MES的方式，从企业设备控制层、车间层、企业协同层等各个层面有效解决管理与车间执行割裂，无法高效联动的难题；软件+硬件的一体化服务平台，灵活组合解决不同场景下的实施需求，极大地节约部署时间与维护成本。</w:t>
            </w:r>
          </w:p>
        </w:tc>
        <w:tc>
          <w:tcPr>
            <w:tcW w:w="3545" w:type="dxa"/>
            <w:tcBorders>
              <w:top w:val="single" w:color="auto" w:sz="4" w:space="0"/>
              <w:left w:val="nil"/>
              <w:bottom w:val="single" w:color="auto" w:sz="4" w:space="0"/>
              <w:right w:val="single" w:color="auto" w:sz="4" w:space="0"/>
            </w:tcBorders>
            <w:shd w:val="clear" w:color="auto" w:fill="auto"/>
            <w:vAlign w:val="center"/>
          </w:tcPr>
          <w:p w14:paraId="498C9E2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车间计划排程、过程物料管理Lot、图纸管理、生产进度等，产品更加贴近离散制造业实际生产需求，解决生产管理痛点，可基于天翼云Saas化部署，同时满足客户个性化需求二次开发。</w:t>
            </w:r>
          </w:p>
        </w:tc>
        <w:tc>
          <w:tcPr>
            <w:tcW w:w="1539" w:type="dxa"/>
            <w:tcBorders>
              <w:top w:val="single" w:color="auto" w:sz="4" w:space="0"/>
              <w:left w:val="nil"/>
              <w:bottom w:val="single" w:color="auto" w:sz="4" w:space="0"/>
              <w:right w:val="single" w:color="auto" w:sz="4" w:space="0"/>
            </w:tcBorders>
            <w:shd w:val="clear" w:color="auto" w:fill="auto"/>
            <w:vAlign w:val="center"/>
          </w:tcPr>
          <w:p w14:paraId="329D190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9万元-50万元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4FD55ACF">
            <w:pPr>
              <w:spacing w:line="360" w:lineRule="auto"/>
              <w:jc w:val="center"/>
              <w:rPr>
                <w:rFonts w:hint="eastAsia" w:ascii="仿宋_GB2312" w:hAnsi="仿宋_GB2312" w:eastAsia="仿宋_GB2312" w:cs="仿宋_GB2312"/>
                <w:kern w:val="0"/>
                <w:sz w:val="24"/>
                <w:szCs w:val="24"/>
              </w:rPr>
            </w:pPr>
          </w:p>
        </w:tc>
      </w:tr>
      <w:tr w14:paraId="625F57DF">
        <w:tblPrEx>
          <w:tblCellMar>
            <w:top w:w="0" w:type="dxa"/>
            <w:left w:w="108" w:type="dxa"/>
            <w:bottom w:w="0" w:type="dxa"/>
            <w:right w:w="108" w:type="dxa"/>
          </w:tblCellMar>
        </w:tblPrEx>
        <w:trPr>
          <w:trHeight w:val="2354"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3FB251FC">
            <w:pPr>
              <w:widowControl/>
              <w:spacing w:line="360" w:lineRule="auto"/>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5</w:t>
            </w:r>
          </w:p>
        </w:tc>
        <w:tc>
          <w:tcPr>
            <w:tcW w:w="1500" w:type="dxa"/>
            <w:tcBorders>
              <w:top w:val="single" w:color="auto" w:sz="4" w:space="0"/>
              <w:left w:val="nil"/>
              <w:bottom w:val="single" w:color="auto" w:sz="4" w:space="0"/>
              <w:right w:val="single" w:color="auto" w:sz="4" w:space="0"/>
            </w:tcBorders>
            <w:shd w:val="clear" w:color="auto" w:fill="auto"/>
            <w:vAlign w:val="center"/>
          </w:tcPr>
          <w:p w14:paraId="370017F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小翼质检</w:t>
            </w:r>
          </w:p>
        </w:tc>
        <w:tc>
          <w:tcPr>
            <w:tcW w:w="3113" w:type="dxa"/>
            <w:tcBorders>
              <w:top w:val="single" w:color="auto" w:sz="4" w:space="0"/>
              <w:left w:val="nil"/>
              <w:bottom w:val="single" w:color="auto" w:sz="4" w:space="0"/>
              <w:right w:val="single" w:color="auto" w:sz="4" w:space="0"/>
            </w:tcBorders>
            <w:shd w:val="clear" w:color="auto" w:fill="auto"/>
            <w:vAlign w:val="center"/>
          </w:tcPr>
          <w:p w14:paraId="19A3923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质检打通数据采集、检测、标注/训练和部署环境，进行全自动生产流程管理，Al识别平面类产品(如家电、纺织、五金、造纸等行业)中的瑕疵或故障，进而大幅节省人工成本，并提高产品生产效率及精度稳定性。</w:t>
            </w:r>
          </w:p>
        </w:tc>
        <w:tc>
          <w:tcPr>
            <w:tcW w:w="3545" w:type="dxa"/>
            <w:tcBorders>
              <w:top w:val="single" w:color="auto" w:sz="4" w:space="0"/>
              <w:left w:val="nil"/>
              <w:bottom w:val="single" w:color="auto" w:sz="4" w:space="0"/>
              <w:right w:val="single" w:color="auto" w:sz="4" w:space="0"/>
            </w:tcBorders>
            <w:shd w:val="clear" w:color="auto" w:fill="auto"/>
            <w:vAlign w:val="center"/>
          </w:tcPr>
          <w:p w14:paraId="332DA9D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小翼质检提供电机焊点线序检测、挂钩吸盘缺陷检测、布匹尺寸及缺陷检测、工程制图对比检测、标签物瑕疵监测、安全帽检测、标签文字识别等功能，助力企业生产降本增效</w:t>
            </w:r>
          </w:p>
        </w:tc>
        <w:tc>
          <w:tcPr>
            <w:tcW w:w="1539" w:type="dxa"/>
            <w:tcBorders>
              <w:top w:val="single" w:color="auto" w:sz="4" w:space="0"/>
              <w:left w:val="nil"/>
              <w:bottom w:val="single" w:color="auto" w:sz="4" w:space="0"/>
              <w:right w:val="single" w:color="auto" w:sz="4" w:space="0"/>
            </w:tcBorders>
            <w:shd w:val="clear" w:color="auto" w:fill="auto"/>
            <w:vAlign w:val="center"/>
          </w:tcPr>
          <w:p w14:paraId="79D87C3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1万元-50万元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0122E450">
            <w:pPr>
              <w:spacing w:line="360" w:lineRule="auto"/>
              <w:jc w:val="center"/>
              <w:rPr>
                <w:rFonts w:hint="eastAsia" w:ascii="仿宋_GB2312" w:hAnsi="仿宋_GB2312" w:eastAsia="仿宋_GB2312" w:cs="仿宋_GB2312"/>
                <w:kern w:val="0"/>
                <w:sz w:val="24"/>
                <w:szCs w:val="24"/>
              </w:rPr>
            </w:pPr>
          </w:p>
        </w:tc>
      </w:tr>
      <w:tr w14:paraId="000D1DFD">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EBAE31B">
            <w:pPr>
              <w:widowControl/>
              <w:spacing w:line="360" w:lineRule="auto"/>
              <w:jc w:val="center"/>
              <w:textAlignment w:val="center"/>
              <w:rPr>
                <w:rFonts w:hint="eastAsia" w:ascii="仿宋_GB2312" w:hAnsi="仿宋_GB2312" w:eastAsia="仿宋_GB2312" w:cs="仿宋_GB2312"/>
                <w:kern w:val="0"/>
                <w:sz w:val="24"/>
                <w:szCs w:val="24"/>
                <w:lang w:bidi="ar"/>
              </w:rPr>
            </w:pPr>
            <w:r>
              <w:rPr>
                <w:rFonts w:hint="eastAsia" w:ascii="仿宋_GB2312" w:hAnsi="仿宋_GB2312" w:eastAsia="仿宋_GB2312" w:cs="仿宋_GB2312"/>
                <w:kern w:val="0"/>
                <w:sz w:val="24"/>
                <w:szCs w:val="24"/>
                <w:lang w:bidi="ar"/>
              </w:rPr>
              <w:t>6</w:t>
            </w:r>
          </w:p>
        </w:tc>
        <w:tc>
          <w:tcPr>
            <w:tcW w:w="1500" w:type="dxa"/>
            <w:tcBorders>
              <w:top w:val="single" w:color="auto" w:sz="4" w:space="0"/>
              <w:left w:val="nil"/>
              <w:bottom w:val="single" w:color="auto" w:sz="4" w:space="0"/>
              <w:right w:val="single" w:color="auto" w:sz="4" w:space="0"/>
            </w:tcBorders>
            <w:shd w:val="clear" w:color="auto" w:fill="auto"/>
            <w:vAlign w:val="center"/>
          </w:tcPr>
          <w:p w14:paraId="62A78A4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综能管理系统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5070AF3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包括能耗驾驶舱、能源数据可视化展示精细管理、能源流向可视化展示、多场景、全方位监控设备运行环境、电力设备状态监测防控、实现远程智能化巡检、辅助碳交易管理等功能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0DFEC0A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结合国家三级能源系统指标要求，实现对企业工厂级（标准版）、线体级（综合版）、设备级（定制版）三种维度能源监管能力覆盖，同时支持多级子企业联动监测，结合能耗模型算法与分析能力，帮助企业实现工艺及设备参数调优、节能侧订单生产排程优化、能源损漏管理等赋能提升，助力企业实现节能增效。</w:t>
            </w:r>
          </w:p>
        </w:tc>
        <w:tc>
          <w:tcPr>
            <w:tcW w:w="1539" w:type="dxa"/>
            <w:tcBorders>
              <w:top w:val="single" w:color="auto" w:sz="4" w:space="0"/>
              <w:left w:val="nil"/>
              <w:bottom w:val="single" w:color="auto" w:sz="4" w:space="0"/>
              <w:right w:val="single" w:color="auto" w:sz="4" w:space="0"/>
            </w:tcBorders>
            <w:shd w:val="clear" w:color="auto" w:fill="auto"/>
            <w:vAlign w:val="center"/>
          </w:tcPr>
          <w:p w14:paraId="0130865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3D9E13F1">
            <w:pPr>
              <w:spacing w:line="360" w:lineRule="auto"/>
              <w:jc w:val="center"/>
              <w:rPr>
                <w:rFonts w:hint="eastAsia" w:ascii="仿宋_GB2312" w:hAnsi="仿宋_GB2312" w:eastAsia="仿宋_GB2312" w:cs="仿宋_GB2312"/>
                <w:kern w:val="0"/>
                <w:sz w:val="24"/>
                <w:szCs w:val="24"/>
              </w:rPr>
            </w:pPr>
          </w:p>
        </w:tc>
      </w:tr>
      <w:tr w14:paraId="67319B06">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2442B7C">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7</w:t>
            </w:r>
          </w:p>
        </w:tc>
        <w:tc>
          <w:tcPr>
            <w:tcW w:w="1500" w:type="dxa"/>
            <w:tcBorders>
              <w:top w:val="single" w:color="auto" w:sz="4" w:space="0"/>
              <w:left w:val="nil"/>
              <w:bottom w:val="single" w:color="auto" w:sz="4" w:space="0"/>
              <w:right w:val="single" w:color="auto" w:sz="4" w:space="0"/>
            </w:tcBorders>
            <w:shd w:val="clear" w:color="auto" w:fill="auto"/>
            <w:vAlign w:val="center"/>
          </w:tcPr>
          <w:p w14:paraId="5C44ECD8">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APS系统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5B3EF5D3">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提供计划排产、物料齐套运算、欠料分析等核心功能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196981BC">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解决生产排程、生 产调度、多工序、多资源的优化调 度问题；从而提升供应链快速反应 和时间成本最小化；</w:t>
            </w:r>
          </w:p>
        </w:tc>
        <w:tc>
          <w:tcPr>
            <w:tcW w:w="1539" w:type="dxa"/>
            <w:tcBorders>
              <w:top w:val="single" w:color="auto" w:sz="4" w:space="0"/>
              <w:left w:val="nil"/>
              <w:bottom w:val="single" w:color="auto" w:sz="4" w:space="0"/>
              <w:right w:val="single" w:color="auto" w:sz="4" w:space="0"/>
            </w:tcBorders>
            <w:shd w:val="clear" w:color="auto" w:fill="auto"/>
            <w:vAlign w:val="center"/>
          </w:tcPr>
          <w:p w14:paraId="7FA2DA37">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259A76C7">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33E25021">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75152040">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8</w:t>
            </w:r>
          </w:p>
        </w:tc>
        <w:tc>
          <w:tcPr>
            <w:tcW w:w="1500" w:type="dxa"/>
            <w:tcBorders>
              <w:top w:val="single" w:color="auto" w:sz="4" w:space="0"/>
              <w:left w:val="nil"/>
              <w:bottom w:val="single" w:color="auto" w:sz="4" w:space="0"/>
              <w:right w:val="single" w:color="auto" w:sz="4" w:space="0"/>
            </w:tcBorders>
            <w:shd w:val="clear" w:color="auto" w:fill="auto"/>
            <w:vAlign w:val="center"/>
          </w:tcPr>
          <w:p w14:paraId="468326BE">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MES系统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30722BA7">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提供生产订单条码打印，数据采集、数据实时呈现、异常闭环管理，生产效率分析等</w:t>
            </w:r>
          </w:p>
        </w:tc>
        <w:tc>
          <w:tcPr>
            <w:tcW w:w="3545" w:type="dxa"/>
            <w:tcBorders>
              <w:top w:val="single" w:color="auto" w:sz="4" w:space="0"/>
              <w:left w:val="nil"/>
              <w:bottom w:val="single" w:color="auto" w:sz="4" w:space="0"/>
              <w:right w:val="single" w:color="auto" w:sz="4" w:space="0"/>
            </w:tcBorders>
            <w:shd w:val="clear" w:color="auto" w:fill="auto"/>
            <w:vAlign w:val="center"/>
          </w:tcPr>
          <w:p w14:paraId="27017D56">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通过利用生产调度、产品跟踪、质量控制、设备故 障分析、网络报表等管理功能，为生产部门、质检部门、工艺部门、 物流部门等提供车间管理信息服务。</w:t>
            </w:r>
          </w:p>
        </w:tc>
        <w:tc>
          <w:tcPr>
            <w:tcW w:w="1539" w:type="dxa"/>
            <w:tcBorders>
              <w:top w:val="single" w:color="auto" w:sz="4" w:space="0"/>
              <w:left w:val="nil"/>
              <w:bottom w:val="single" w:color="auto" w:sz="4" w:space="0"/>
              <w:right w:val="single" w:color="auto" w:sz="4" w:space="0"/>
            </w:tcBorders>
            <w:shd w:val="clear" w:color="auto" w:fill="auto"/>
            <w:vAlign w:val="center"/>
          </w:tcPr>
          <w:p w14:paraId="7F3213A5">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3F28A51E">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13DCEF6A">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0C28E413">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9</w:t>
            </w:r>
          </w:p>
        </w:tc>
        <w:tc>
          <w:tcPr>
            <w:tcW w:w="1500" w:type="dxa"/>
            <w:tcBorders>
              <w:top w:val="single" w:color="auto" w:sz="4" w:space="0"/>
              <w:left w:val="nil"/>
              <w:bottom w:val="single" w:color="auto" w:sz="4" w:space="0"/>
              <w:right w:val="single" w:color="auto" w:sz="4" w:space="0"/>
            </w:tcBorders>
            <w:shd w:val="clear" w:color="auto" w:fill="auto"/>
            <w:vAlign w:val="center"/>
          </w:tcPr>
          <w:p w14:paraId="17C25777">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WMS系统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15A22A4E">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通过APP移动手持终端解决从供应商送货预约，扫送货单暂收入库，扫储位标签上架入库，对入库业务、出库业务、仓库调拨、库存调拨和虚仓管理等业务的管控。从而达到反映和控制仓库各个环节的运作，实现事件前后的管理。</w:t>
            </w:r>
          </w:p>
        </w:tc>
        <w:tc>
          <w:tcPr>
            <w:tcW w:w="3545" w:type="dxa"/>
            <w:tcBorders>
              <w:top w:val="single" w:color="auto" w:sz="4" w:space="0"/>
              <w:left w:val="nil"/>
              <w:bottom w:val="single" w:color="auto" w:sz="4" w:space="0"/>
              <w:right w:val="single" w:color="auto" w:sz="4" w:space="0"/>
            </w:tcBorders>
            <w:shd w:val="clear" w:color="auto" w:fill="auto"/>
            <w:vAlign w:val="center"/>
          </w:tcPr>
          <w:p w14:paraId="093D9D0C">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1、来料暂收：对接供应链系统的收 货计划，实现对内、外部供应商送 货后的收货处理，形成暂收单，推 送至QMS系统形成质检任务。</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2、原材料入库：对接QMS系统，把 质检合格和免检的货物形成WMS系  统的入库上架任务，由仓管员确认，并加入扫码操作，以便溯源和 精细化储位管理。</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3、仓库发料：对接交投料系统，由 物料员提交备料申请，形成WMS系统出库任务，由仓管员审核出库， 并对接至U9系统形成领料单据。</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4、成品入库：对车间MES系统，QMS系统，将QMS质检合格的成品形成WMS系统的入库任务，增加板头纸条码管控，由仓管员扫描入库。</w:t>
            </w:r>
            <w:r>
              <w:rPr>
                <w:rFonts w:hint="eastAsia" w:ascii="宋体" w:hAnsi="宋体" w:eastAsia="宋体" w:cs="宋体"/>
                <w:color w:val="000000" w:themeColor="text1"/>
                <w:kern w:val="0"/>
                <w:sz w:val="18"/>
                <w:szCs w:val="18"/>
                <w:lang w:bidi="ar"/>
                <w14:textFill>
                  <w14:solidFill>
                    <w14:schemeClr w14:val="tx1"/>
                  </w14:solidFill>
                </w14:textFill>
              </w:rPr>
              <w:br w:type="textWrapping"/>
            </w:r>
            <w:r>
              <w:rPr>
                <w:rFonts w:hint="eastAsia" w:ascii="宋体" w:hAnsi="宋体" w:eastAsia="宋体" w:cs="宋体"/>
                <w:color w:val="000000" w:themeColor="text1"/>
                <w:kern w:val="0"/>
                <w:sz w:val="18"/>
                <w:szCs w:val="18"/>
                <w:lang w:bidi="ar"/>
                <w14:textFill>
                  <w14:solidFill>
                    <w14:schemeClr w14:val="tx1"/>
                  </w14:solidFill>
                </w14:textFill>
              </w:rPr>
              <w:t>5、成品出库：对接出货系统出货计划，形成WMS系统的出库任务，由仓管员审核出库，并对接至销售单据。</w:t>
            </w:r>
          </w:p>
        </w:tc>
        <w:tc>
          <w:tcPr>
            <w:tcW w:w="1539" w:type="dxa"/>
            <w:tcBorders>
              <w:top w:val="single" w:color="auto" w:sz="4" w:space="0"/>
              <w:left w:val="nil"/>
              <w:bottom w:val="single" w:color="auto" w:sz="4" w:space="0"/>
              <w:right w:val="single" w:color="auto" w:sz="4" w:space="0"/>
            </w:tcBorders>
            <w:shd w:val="clear" w:color="auto" w:fill="auto"/>
            <w:vAlign w:val="center"/>
          </w:tcPr>
          <w:p w14:paraId="1BBE9D5E">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7AA7E7FA">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007D3EAA">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1DD98263">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10</w:t>
            </w:r>
          </w:p>
        </w:tc>
        <w:tc>
          <w:tcPr>
            <w:tcW w:w="1500" w:type="dxa"/>
            <w:tcBorders>
              <w:top w:val="single" w:color="auto" w:sz="4" w:space="0"/>
              <w:left w:val="nil"/>
              <w:bottom w:val="single" w:color="auto" w:sz="4" w:space="0"/>
              <w:right w:val="single" w:color="auto" w:sz="4" w:space="0"/>
            </w:tcBorders>
            <w:shd w:val="clear" w:color="auto" w:fill="auto"/>
            <w:vAlign w:val="center"/>
          </w:tcPr>
          <w:p w14:paraId="3C6BD161">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BI看板</w:t>
            </w:r>
          </w:p>
        </w:tc>
        <w:tc>
          <w:tcPr>
            <w:tcW w:w="3113" w:type="dxa"/>
            <w:tcBorders>
              <w:top w:val="single" w:color="auto" w:sz="4" w:space="0"/>
              <w:left w:val="nil"/>
              <w:bottom w:val="single" w:color="auto" w:sz="4" w:space="0"/>
              <w:right w:val="single" w:color="auto" w:sz="4" w:space="0"/>
            </w:tcBorders>
            <w:shd w:val="clear" w:color="auto" w:fill="auto"/>
            <w:vAlign w:val="center"/>
          </w:tcPr>
          <w:p w14:paraId="0F4C3FAC">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提供企业各纬度数据分析功能</w:t>
            </w:r>
          </w:p>
        </w:tc>
        <w:tc>
          <w:tcPr>
            <w:tcW w:w="3545" w:type="dxa"/>
            <w:tcBorders>
              <w:top w:val="single" w:color="auto" w:sz="4" w:space="0"/>
              <w:left w:val="nil"/>
              <w:bottom w:val="single" w:color="auto" w:sz="4" w:space="0"/>
              <w:right w:val="single" w:color="auto" w:sz="4" w:space="0"/>
            </w:tcBorders>
            <w:shd w:val="clear" w:color="auto" w:fill="auto"/>
            <w:vAlign w:val="center"/>
          </w:tcPr>
          <w:p w14:paraId="7B335D42">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在来料仓库、原材料 仓库、车间线头、车间内、公司负 责人办公室安装数据屏，通过数据看板的可视化数据来驱动各项业务的完善</w:t>
            </w:r>
          </w:p>
        </w:tc>
        <w:tc>
          <w:tcPr>
            <w:tcW w:w="1539" w:type="dxa"/>
            <w:tcBorders>
              <w:top w:val="single" w:color="auto" w:sz="4" w:space="0"/>
              <w:left w:val="nil"/>
              <w:bottom w:val="single" w:color="auto" w:sz="4" w:space="0"/>
              <w:right w:val="single" w:color="auto" w:sz="4" w:space="0"/>
            </w:tcBorders>
            <w:shd w:val="clear" w:color="auto" w:fill="auto"/>
            <w:vAlign w:val="center"/>
          </w:tcPr>
          <w:p w14:paraId="7C8D9A85">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5F6DCFBC">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r w14:paraId="3C694244">
        <w:tblPrEx>
          <w:tblCellMar>
            <w:top w:w="0" w:type="dxa"/>
            <w:left w:w="108" w:type="dxa"/>
            <w:bottom w:w="0" w:type="dxa"/>
            <w:right w:w="108" w:type="dxa"/>
          </w:tblCellMar>
        </w:tblPrEx>
        <w:trPr>
          <w:trHeight w:val="2699" w:hRule="atLeast"/>
        </w:trPr>
        <w:tc>
          <w:tcPr>
            <w:tcW w:w="800" w:type="dxa"/>
            <w:tcBorders>
              <w:top w:val="single" w:color="auto" w:sz="4" w:space="0"/>
              <w:left w:val="single" w:color="auto" w:sz="4" w:space="0"/>
              <w:bottom w:val="single" w:color="auto" w:sz="4" w:space="0"/>
              <w:right w:val="single" w:color="auto" w:sz="4" w:space="0"/>
            </w:tcBorders>
            <w:shd w:val="clear" w:color="auto" w:fill="auto"/>
            <w:vAlign w:val="center"/>
          </w:tcPr>
          <w:p w14:paraId="5FD9C2AB">
            <w:pPr>
              <w:widowControl/>
              <w:jc w:val="center"/>
              <w:textAlignment w:val="center"/>
              <w:rPr>
                <w:rFonts w:hint="eastAsia" w:ascii="仿宋_GB2312" w:hAnsi="仿宋_GB2312" w:eastAsia="仿宋_GB2312" w:cs="仿宋_GB2312"/>
                <w:color w:val="000000" w:themeColor="text1"/>
                <w:kern w:val="0"/>
                <w:sz w:val="24"/>
                <w:szCs w:val="24"/>
                <w:lang w:bidi="ar"/>
                <w14:textFill>
                  <w14:solidFill>
                    <w14:schemeClr w14:val="tx1"/>
                  </w14:solidFill>
                </w14:textFill>
              </w:rPr>
            </w:pPr>
            <w:r>
              <w:rPr>
                <w:rFonts w:hint="eastAsia" w:ascii="仿宋_GB2312" w:hAnsi="仿宋_GB2312" w:eastAsia="仿宋_GB2312" w:cs="仿宋_GB2312"/>
                <w:color w:val="000000" w:themeColor="text1"/>
                <w:kern w:val="0"/>
                <w:sz w:val="24"/>
                <w:szCs w:val="24"/>
                <w:lang w:bidi="ar"/>
                <w14:textFill>
                  <w14:solidFill>
                    <w14:schemeClr w14:val="tx1"/>
                  </w14:solidFill>
                </w14:textFill>
              </w:rPr>
              <w:t>11</w:t>
            </w:r>
          </w:p>
        </w:tc>
        <w:tc>
          <w:tcPr>
            <w:tcW w:w="1500" w:type="dxa"/>
            <w:tcBorders>
              <w:top w:val="single" w:color="auto" w:sz="4" w:space="0"/>
              <w:left w:val="nil"/>
              <w:bottom w:val="single" w:color="auto" w:sz="4" w:space="0"/>
              <w:right w:val="single" w:color="auto" w:sz="4" w:space="0"/>
            </w:tcBorders>
            <w:shd w:val="clear" w:color="auto" w:fill="auto"/>
            <w:vAlign w:val="center"/>
          </w:tcPr>
          <w:p w14:paraId="400DFBD4">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计件工资系统</w:t>
            </w:r>
          </w:p>
        </w:tc>
        <w:tc>
          <w:tcPr>
            <w:tcW w:w="3113" w:type="dxa"/>
            <w:tcBorders>
              <w:top w:val="single" w:color="auto" w:sz="4" w:space="0"/>
              <w:left w:val="nil"/>
              <w:bottom w:val="single" w:color="auto" w:sz="4" w:space="0"/>
              <w:right w:val="single" w:color="auto" w:sz="4" w:space="0"/>
            </w:tcBorders>
            <w:shd w:val="clear" w:color="auto" w:fill="auto"/>
            <w:vAlign w:val="center"/>
          </w:tcPr>
          <w:p w14:paraId="7382D3EC">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该系统支持总装、五金、注塑、电子等多行业多种工资核算方式组合：如集体计件、个人计件、个人计时等，可实现生产管理人员、基层员工和产量挂钩，每日可查询咋天工资，充分调动人员工作积极性，同时提高工资的 时效性和透明度。</w:t>
            </w:r>
          </w:p>
        </w:tc>
        <w:tc>
          <w:tcPr>
            <w:tcW w:w="3545" w:type="dxa"/>
            <w:tcBorders>
              <w:top w:val="single" w:color="auto" w:sz="4" w:space="0"/>
              <w:left w:val="nil"/>
              <w:bottom w:val="single" w:color="auto" w:sz="4" w:space="0"/>
              <w:right w:val="single" w:color="auto" w:sz="4" w:space="0"/>
            </w:tcBorders>
            <w:shd w:val="clear" w:color="auto" w:fill="auto"/>
            <w:vAlign w:val="center"/>
          </w:tcPr>
          <w:p w14:paraId="7D08F1C0">
            <w:pPr>
              <w:widowControl/>
              <w:jc w:val="left"/>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1、基础配置：实现人员、组织、单 价、产能、岗位基准分、岗位津贴 等基础资料标准化；2、业务操作：支持工资核算各业务 模块功能操作，如考勤签批、单价 审核、评分维护、异常维护、产值 分配、产值扣款以及临时结算等功能 ；3、报表呈现：提供工资、考勤、产 量等报表查询，提供工资水平分析，劳务薪资趋势、岗位薪资比对等功能 ；</w:t>
            </w:r>
          </w:p>
        </w:tc>
        <w:tc>
          <w:tcPr>
            <w:tcW w:w="1539" w:type="dxa"/>
            <w:tcBorders>
              <w:top w:val="single" w:color="auto" w:sz="4" w:space="0"/>
              <w:left w:val="nil"/>
              <w:bottom w:val="single" w:color="auto" w:sz="4" w:space="0"/>
              <w:right w:val="single" w:color="auto" w:sz="4" w:space="0"/>
            </w:tcBorders>
            <w:shd w:val="clear" w:color="auto" w:fill="auto"/>
            <w:vAlign w:val="center"/>
          </w:tcPr>
          <w:p w14:paraId="5B2F5E0A">
            <w:pPr>
              <w:widowControl/>
              <w:jc w:val="center"/>
              <w:textAlignment w:val="center"/>
              <w:rPr>
                <w:rFonts w:hint="eastAsia" w:ascii="宋体" w:hAnsi="宋体" w:eastAsia="宋体" w:cs="宋体"/>
                <w:color w:val="000000" w:themeColor="text1"/>
                <w:kern w:val="0"/>
                <w:sz w:val="18"/>
                <w:szCs w:val="18"/>
                <w:lang w:bidi="ar"/>
                <w14:textFill>
                  <w14:solidFill>
                    <w14:schemeClr w14:val="tx1"/>
                  </w14:solidFill>
                </w14:textFill>
              </w:rPr>
            </w:pPr>
            <w:r>
              <w:rPr>
                <w:rFonts w:hint="eastAsia" w:ascii="宋体" w:hAnsi="宋体" w:eastAsia="宋体" w:cs="宋体"/>
                <w:color w:val="000000" w:themeColor="text1"/>
                <w:kern w:val="0"/>
                <w:sz w:val="18"/>
                <w:szCs w:val="18"/>
                <w:lang w:bidi="ar"/>
                <w14:textFill>
                  <w14:solidFill>
                    <w14:schemeClr w14:val="tx1"/>
                  </w14:solidFill>
                </w14:textFill>
              </w:rPr>
              <w:t>1</w:t>
            </w:r>
            <w:r>
              <w:rPr>
                <w:rFonts w:hint="eastAsia" w:ascii="宋体" w:hAnsi="宋体" w:eastAsia="宋体" w:cs="宋体"/>
                <w:color w:val="000000"/>
                <w:kern w:val="0"/>
                <w:sz w:val="18"/>
                <w:szCs w:val="18"/>
                <w:lang w:bidi="ar"/>
              </w:rPr>
              <w:t>万元</w:t>
            </w:r>
            <w:r>
              <w:rPr>
                <w:rFonts w:hint="eastAsia" w:ascii="宋体" w:hAnsi="宋体" w:eastAsia="宋体" w:cs="宋体"/>
                <w:color w:val="000000" w:themeColor="text1"/>
                <w:kern w:val="0"/>
                <w:sz w:val="18"/>
                <w:szCs w:val="18"/>
                <w:lang w:bidi="ar"/>
                <w14:textFill>
                  <w14:solidFill>
                    <w14:schemeClr w14:val="tx1"/>
                  </w14:solidFill>
                </w14:textFill>
              </w:rPr>
              <w:t>-5万元</w:t>
            </w:r>
          </w:p>
        </w:tc>
        <w:tc>
          <w:tcPr>
            <w:tcW w:w="3956" w:type="dxa"/>
            <w:tcBorders>
              <w:top w:val="single" w:color="auto" w:sz="4" w:space="0"/>
              <w:left w:val="nil"/>
              <w:bottom w:val="single" w:color="auto" w:sz="4" w:space="0"/>
              <w:right w:val="single" w:color="auto" w:sz="4" w:space="0"/>
            </w:tcBorders>
            <w:shd w:val="clear" w:color="auto" w:fill="auto"/>
            <w:vAlign w:val="center"/>
          </w:tcPr>
          <w:p w14:paraId="4337993F">
            <w:pPr>
              <w:jc w:val="center"/>
              <w:rPr>
                <w:rFonts w:hint="eastAsia" w:ascii="仿宋_GB2312" w:hAnsi="仿宋_GB2312" w:eastAsia="仿宋_GB2312" w:cs="仿宋_GB2312"/>
                <w:color w:val="000000" w:themeColor="text1"/>
                <w:kern w:val="0"/>
                <w:sz w:val="24"/>
                <w:szCs w:val="24"/>
                <w14:textFill>
                  <w14:solidFill>
                    <w14:schemeClr w14:val="tx1"/>
                  </w14:solidFill>
                </w14:textFill>
              </w:rPr>
            </w:pPr>
          </w:p>
        </w:tc>
      </w:tr>
    </w:tbl>
    <w:p w14:paraId="2D2006B7">
      <w:pPr>
        <w:rPr>
          <w:rFonts w:hint="eastAsia" w:ascii="仿宋_GB2312" w:hAnsi="仿宋_GB2312" w:eastAsia="仿宋_GB2312" w:cs="仿宋_GB2312"/>
          <w:bCs/>
          <w:color w:val="000000" w:themeColor="text1"/>
          <w:sz w:val="32"/>
          <w:szCs w:val="32"/>
          <w14:textFill>
            <w14:solidFill>
              <w14:schemeClr w14:val="tx1"/>
            </w14:solidFill>
          </w14:textFill>
        </w:rPr>
      </w:pPr>
    </w:p>
    <w:p w14:paraId="40AE766B">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0001BBD8">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 xml:space="preserve">（四）联合体成员：      广东亿迅科技有限公司   </w:t>
      </w:r>
    </w:p>
    <w:tbl>
      <w:tblPr>
        <w:tblStyle w:val="14"/>
        <w:tblW w:w="14426" w:type="dxa"/>
        <w:tblInd w:w="113" w:type="dxa"/>
        <w:tblLayout w:type="autofit"/>
        <w:tblCellMar>
          <w:top w:w="0" w:type="dxa"/>
          <w:left w:w="108" w:type="dxa"/>
          <w:bottom w:w="0" w:type="dxa"/>
          <w:right w:w="108" w:type="dxa"/>
        </w:tblCellMar>
      </w:tblPr>
      <w:tblGrid>
        <w:gridCol w:w="807"/>
        <w:gridCol w:w="1513"/>
        <w:gridCol w:w="3205"/>
        <w:gridCol w:w="3509"/>
        <w:gridCol w:w="1553"/>
        <w:gridCol w:w="3839"/>
      </w:tblGrid>
      <w:tr w14:paraId="66E76F37">
        <w:tblPrEx>
          <w:tblCellMar>
            <w:top w:w="0" w:type="dxa"/>
            <w:left w:w="108" w:type="dxa"/>
            <w:bottom w:w="0" w:type="dxa"/>
            <w:right w:w="108" w:type="dxa"/>
          </w:tblCellMar>
        </w:tblPrEx>
        <w:trPr>
          <w:trHeight w:val="842"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5D90003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3" w:type="dxa"/>
            <w:tcBorders>
              <w:top w:val="single" w:color="auto" w:sz="4" w:space="0"/>
              <w:left w:val="nil"/>
              <w:bottom w:val="single" w:color="auto" w:sz="4" w:space="0"/>
              <w:right w:val="single" w:color="auto" w:sz="4" w:space="0"/>
            </w:tcBorders>
            <w:shd w:val="clear" w:color="auto" w:fill="auto"/>
            <w:vAlign w:val="center"/>
          </w:tcPr>
          <w:p w14:paraId="786456E1">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205" w:type="dxa"/>
            <w:tcBorders>
              <w:top w:val="single" w:color="auto" w:sz="4" w:space="0"/>
              <w:left w:val="nil"/>
              <w:bottom w:val="single" w:color="auto" w:sz="4" w:space="0"/>
              <w:right w:val="single" w:color="auto" w:sz="4" w:space="0"/>
            </w:tcBorders>
            <w:shd w:val="clear" w:color="auto" w:fill="auto"/>
            <w:vAlign w:val="center"/>
          </w:tcPr>
          <w:p w14:paraId="3C65DFD6">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509" w:type="dxa"/>
            <w:tcBorders>
              <w:top w:val="single" w:color="auto" w:sz="4" w:space="0"/>
              <w:left w:val="nil"/>
              <w:bottom w:val="single" w:color="auto" w:sz="4" w:space="0"/>
              <w:right w:val="single" w:color="auto" w:sz="4" w:space="0"/>
            </w:tcBorders>
            <w:shd w:val="clear" w:color="auto" w:fill="auto"/>
            <w:vAlign w:val="center"/>
          </w:tcPr>
          <w:p w14:paraId="2B48F66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3" w:type="dxa"/>
            <w:tcBorders>
              <w:top w:val="single" w:color="auto" w:sz="4" w:space="0"/>
              <w:left w:val="nil"/>
              <w:bottom w:val="single" w:color="auto" w:sz="4" w:space="0"/>
              <w:right w:val="single" w:color="auto" w:sz="4" w:space="0"/>
            </w:tcBorders>
            <w:shd w:val="clear" w:color="auto" w:fill="auto"/>
            <w:vAlign w:val="center"/>
          </w:tcPr>
          <w:p w14:paraId="29208E5A">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9" w:type="dxa"/>
            <w:tcBorders>
              <w:top w:val="single" w:color="auto" w:sz="4" w:space="0"/>
              <w:left w:val="nil"/>
              <w:bottom w:val="single" w:color="auto" w:sz="4" w:space="0"/>
              <w:right w:val="single" w:color="auto" w:sz="4" w:space="0"/>
            </w:tcBorders>
            <w:shd w:val="clear" w:color="auto" w:fill="auto"/>
            <w:vAlign w:val="center"/>
          </w:tcPr>
          <w:p w14:paraId="6101E57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7E6E4253">
        <w:tblPrEx>
          <w:tblCellMar>
            <w:top w:w="0" w:type="dxa"/>
            <w:left w:w="108" w:type="dxa"/>
            <w:bottom w:w="0" w:type="dxa"/>
            <w:right w:w="108" w:type="dxa"/>
          </w:tblCellMar>
        </w:tblPrEx>
        <w:trPr>
          <w:trHeight w:val="343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57A274D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3" w:type="dxa"/>
            <w:tcBorders>
              <w:top w:val="single" w:color="auto" w:sz="4" w:space="0"/>
              <w:left w:val="nil"/>
              <w:bottom w:val="single" w:color="auto" w:sz="4" w:space="0"/>
              <w:right w:val="single" w:color="auto" w:sz="4" w:space="0"/>
            </w:tcBorders>
            <w:shd w:val="clear" w:color="auto" w:fill="auto"/>
            <w:vAlign w:val="center"/>
          </w:tcPr>
          <w:p w14:paraId="0E69FAA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天翼云仓</w:t>
            </w:r>
          </w:p>
        </w:tc>
        <w:tc>
          <w:tcPr>
            <w:tcW w:w="3205" w:type="dxa"/>
            <w:tcBorders>
              <w:top w:val="single" w:color="auto" w:sz="4" w:space="0"/>
              <w:left w:val="nil"/>
              <w:bottom w:val="single" w:color="auto" w:sz="4" w:space="0"/>
              <w:right w:val="single" w:color="auto" w:sz="4" w:space="0"/>
            </w:tcBorders>
            <w:shd w:val="clear" w:color="auto" w:fill="auto"/>
            <w:vAlign w:val="center"/>
          </w:tcPr>
          <w:p w14:paraId="12C0E31C">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天翼云仓是基于条码技术和现代化仓储精益管理思想，通过出入库业务、盘点、库内管理及可视化看板等功能，对仓库业务进行全过程有效控制和跟踪，并结合自动化设备实现仓储智能化管理。同时可与可ERP进行对接使月用，给企业提供更准确、更全面的仓储数据。</w:t>
            </w:r>
          </w:p>
        </w:tc>
        <w:tc>
          <w:tcPr>
            <w:tcW w:w="3509" w:type="dxa"/>
            <w:tcBorders>
              <w:top w:val="single" w:color="auto" w:sz="4" w:space="0"/>
              <w:left w:val="nil"/>
              <w:bottom w:val="single" w:color="auto" w:sz="4" w:space="0"/>
              <w:right w:val="single" w:color="auto" w:sz="4" w:space="0"/>
            </w:tcBorders>
            <w:shd w:val="clear" w:color="auto" w:fill="auto"/>
            <w:vAlign w:val="center"/>
          </w:tcPr>
          <w:p w14:paraId="0CD55CE0">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协作化的作业流程管理、作业全程的条码化管理、精细化的库位管理、高效的策略管理</w:t>
            </w:r>
          </w:p>
        </w:tc>
        <w:tc>
          <w:tcPr>
            <w:tcW w:w="1553" w:type="dxa"/>
            <w:tcBorders>
              <w:top w:val="single" w:color="auto" w:sz="4" w:space="0"/>
              <w:left w:val="nil"/>
              <w:bottom w:val="single" w:color="auto" w:sz="4" w:space="0"/>
              <w:right w:val="single" w:color="auto" w:sz="4" w:space="0"/>
            </w:tcBorders>
            <w:shd w:val="clear" w:color="auto" w:fill="auto"/>
            <w:vAlign w:val="center"/>
          </w:tcPr>
          <w:p w14:paraId="7058BD96">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176E16E2">
            <w:pPr>
              <w:spacing w:line="360" w:lineRule="auto"/>
              <w:jc w:val="center"/>
              <w:rPr>
                <w:rFonts w:hint="eastAsia" w:ascii="仿宋_GB2312" w:hAnsi="仿宋_GB2312" w:eastAsia="仿宋_GB2312" w:cs="仿宋_GB2312"/>
                <w:kern w:val="0"/>
                <w:sz w:val="24"/>
                <w:szCs w:val="24"/>
              </w:rPr>
            </w:pPr>
          </w:p>
        </w:tc>
      </w:tr>
      <w:tr w14:paraId="56498ACB">
        <w:tblPrEx>
          <w:tblCellMar>
            <w:top w:w="0" w:type="dxa"/>
            <w:left w:w="108" w:type="dxa"/>
            <w:bottom w:w="0" w:type="dxa"/>
            <w:right w:w="108" w:type="dxa"/>
          </w:tblCellMar>
        </w:tblPrEx>
        <w:trPr>
          <w:trHeight w:val="2503"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66F36B8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3" w:type="dxa"/>
            <w:tcBorders>
              <w:top w:val="single" w:color="auto" w:sz="4" w:space="0"/>
              <w:left w:val="nil"/>
              <w:bottom w:val="single" w:color="auto" w:sz="4" w:space="0"/>
              <w:right w:val="single" w:color="auto" w:sz="4" w:space="0"/>
            </w:tcBorders>
            <w:shd w:val="clear" w:color="auto" w:fill="auto"/>
            <w:vAlign w:val="center"/>
          </w:tcPr>
          <w:p w14:paraId="2371F4B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OA系统</w:t>
            </w:r>
          </w:p>
        </w:tc>
        <w:tc>
          <w:tcPr>
            <w:tcW w:w="3205" w:type="dxa"/>
            <w:tcBorders>
              <w:top w:val="single" w:color="auto" w:sz="4" w:space="0"/>
              <w:left w:val="nil"/>
              <w:bottom w:val="single" w:color="auto" w:sz="4" w:space="0"/>
              <w:right w:val="single" w:color="auto" w:sz="4" w:space="0"/>
            </w:tcBorders>
            <w:shd w:val="clear" w:color="auto" w:fill="auto"/>
            <w:vAlign w:val="center"/>
          </w:tcPr>
          <w:p w14:paraId="65C6BB71">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在线办公用户体验更好，架构先进，升级更方便，并且适配多行业，快部署，全程保障，应用更安全，围绕多领域核心应用，满足多行业、多领域业务管理，赋能信创体系下的组织协同更高效。</w:t>
            </w:r>
          </w:p>
        </w:tc>
        <w:tc>
          <w:tcPr>
            <w:tcW w:w="3509" w:type="dxa"/>
            <w:tcBorders>
              <w:top w:val="single" w:color="auto" w:sz="4" w:space="0"/>
              <w:left w:val="nil"/>
              <w:bottom w:val="single" w:color="auto" w:sz="4" w:space="0"/>
              <w:right w:val="single" w:color="auto" w:sz="4" w:space="0"/>
            </w:tcBorders>
            <w:shd w:val="clear" w:color="auto" w:fill="auto"/>
            <w:vAlign w:val="center"/>
          </w:tcPr>
          <w:p w14:paraId="1411D484">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OA系统主要的功能模块包括：电子公文、督查督办、会议管理、综合办公、个人工作台、信息管理、表单定义、流程管控、日志管理、统一用户管理、移动端等内容，系统支持国产化环境，打造“全方位整合、全业务协同、高效沟通”的内部办公平台。</w:t>
            </w:r>
          </w:p>
        </w:tc>
        <w:tc>
          <w:tcPr>
            <w:tcW w:w="1553" w:type="dxa"/>
            <w:tcBorders>
              <w:top w:val="single" w:color="auto" w:sz="4" w:space="0"/>
              <w:left w:val="nil"/>
              <w:bottom w:val="single" w:color="auto" w:sz="4" w:space="0"/>
              <w:right w:val="single" w:color="auto" w:sz="4" w:space="0"/>
            </w:tcBorders>
            <w:shd w:val="clear" w:color="auto" w:fill="auto"/>
            <w:vAlign w:val="center"/>
          </w:tcPr>
          <w:p w14:paraId="0B12861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60AF451F">
            <w:pPr>
              <w:spacing w:line="360" w:lineRule="auto"/>
              <w:jc w:val="center"/>
              <w:rPr>
                <w:rFonts w:hint="eastAsia" w:ascii="仿宋_GB2312" w:hAnsi="仿宋_GB2312" w:eastAsia="仿宋_GB2312" w:cs="仿宋_GB2312"/>
                <w:kern w:val="0"/>
                <w:sz w:val="24"/>
                <w:szCs w:val="24"/>
              </w:rPr>
            </w:pPr>
          </w:p>
        </w:tc>
      </w:tr>
      <w:tr w14:paraId="0B755DB1">
        <w:tblPrEx>
          <w:tblCellMar>
            <w:top w:w="0" w:type="dxa"/>
            <w:left w:w="108" w:type="dxa"/>
            <w:bottom w:w="0" w:type="dxa"/>
            <w:right w:w="108" w:type="dxa"/>
          </w:tblCellMar>
        </w:tblPrEx>
        <w:trPr>
          <w:trHeight w:val="312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5E5E795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3" w:type="dxa"/>
            <w:tcBorders>
              <w:top w:val="single" w:color="auto" w:sz="4" w:space="0"/>
              <w:left w:val="nil"/>
              <w:bottom w:val="single" w:color="auto" w:sz="4" w:space="0"/>
              <w:right w:val="single" w:color="auto" w:sz="4" w:space="0"/>
            </w:tcBorders>
            <w:shd w:val="clear" w:color="auto" w:fill="auto"/>
            <w:vAlign w:val="center"/>
          </w:tcPr>
          <w:p w14:paraId="6961F88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BPM流程引擎</w:t>
            </w:r>
          </w:p>
        </w:tc>
        <w:tc>
          <w:tcPr>
            <w:tcW w:w="3205" w:type="dxa"/>
            <w:tcBorders>
              <w:top w:val="single" w:color="auto" w:sz="4" w:space="0"/>
              <w:left w:val="nil"/>
              <w:bottom w:val="single" w:color="auto" w:sz="4" w:space="0"/>
              <w:right w:val="single" w:color="auto" w:sz="4" w:space="0"/>
            </w:tcBorders>
            <w:shd w:val="clear" w:color="auto" w:fill="auto"/>
            <w:vAlign w:val="center"/>
          </w:tcPr>
          <w:p w14:paraId="6E87A7B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PM业务流程引擎采用最前沿的技术，运用互联网思维，围绕以应用+流程的企业应用，提供可独立部署或SAAS化的流程中台，满足任何企业的流程管理需求，提升企业用的搭建速度，快速实现流程的固化和自动化，提升示系统运营效率和用户体验。</w:t>
            </w:r>
          </w:p>
        </w:tc>
        <w:tc>
          <w:tcPr>
            <w:tcW w:w="3509" w:type="dxa"/>
            <w:tcBorders>
              <w:top w:val="single" w:color="auto" w:sz="4" w:space="0"/>
              <w:left w:val="nil"/>
              <w:bottom w:val="single" w:color="auto" w:sz="4" w:space="0"/>
              <w:right w:val="single" w:color="auto" w:sz="4" w:space="0"/>
            </w:tcBorders>
            <w:shd w:val="clear" w:color="auto" w:fill="auto"/>
            <w:vAlign w:val="center"/>
          </w:tcPr>
          <w:p w14:paraId="653AB19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提供BPM流程引擎功能，包括实例管理、流程设计、基础管理、报表管理功能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17BB9CB0">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1376D392">
            <w:pPr>
              <w:spacing w:line="360" w:lineRule="auto"/>
              <w:jc w:val="center"/>
              <w:rPr>
                <w:rFonts w:hint="eastAsia" w:ascii="仿宋_GB2312" w:hAnsi="仿宋_GB2312" w:eastAsia="仿宋_GB2312" w:cs="仿宋_GB2312"/>
                <w:kern w:val="0"/>
                <w:sz w:val="24"/>
                <w:szCs w:val="24"/>
              </w:rPr>
            </w:pPr>
          </w:p>
        </w:tc>
      </w:tr>
      <w:tr w14:paraId="2DEDF1F7">
        <w:tblPrEx>
          <w:tblCellMar>
            <w:top w:w="0" w:type="dxa"/>
            <w:left w:w="108" w:type="dxa"/>
            <w:bottom w:w="0" w:type="dxa"/>
            <w:right w:w="108" w:type="dxa"/>
          </w:tblCellMar>
        </w:tblPrEx>
        <w:trPr>
          <w:trHeight w:val="2814"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30980F3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3" w:type="dxa"/>
            <w:tcBorders>
              <w:top w:val="single" w:color="auto" w:sz="4" w:space="0"/>
              <w:left w:val="nil"/>
              <w:bottom w:val="single" w:color="auto" w:sz="4" w:space="0"/>
              <w:right w:val="single" w:color="auto" w:sz="4" w:space="0"/>
            </w:tcBorders>
            <w:shd w:val="clear" w:color="auto" w:fill="auto"/>
            <w:vAlign w:val="center"/>
          </w:tcPr>
          <w:p w14:paraId="548C887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智慧工厂-设备管理数采</w:t>
            </w:r>
          </w:p>
        </w:tc>
        <w:tc>
          <w:tcPr>
            <w:tcW w:w="3205" w:type="dxa"/>
            <w:tcBorders>
              <w:top w:val="single" w:color="auto" w:sz="4" w:space="0"/>
              <w:left w:val="nil"/>
              <w:bottom w:val="single" w:color="auto" w:sz="4" w:space="0"/>
              <w:right w:val="single" w:color="auto" w:sz="4" w:space="0"/>
            </w:tcBorders>
            <w:shd w:val="clear" w:color="auto" w:fill="auto"/>
            <w:vAlign w:val="center"/>
          </w:tcPr>
          <w:p w14:paraId="2E5D4FF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设备管理数采建设设备数据采集、设备稼动率/OEE分析、设备运维管理（自检、巡检、点检）、设备故障告警、数据统计分析等功能模块，通过工厂设备智能互联、数据智慧协同、安全智能告警及创新智慧应用。</w:t>
            </w:r>
          </w:p>
        </w:tc>
        <w:tc>
          <w:tcPr>
            <w:tcW w:w="3509" w:type="dxa"/>
            <w:tcBorders>
              <w:top w:val="single" w:color="auto" w:sz="4" w:space="0"/>
              <w:left w:val="nil"/>
              <w:bottom w:val="single" w:color="auto" w:sz="4" w:space="0"/>
              <w:right w:val="single" w:color="auto" w:sz="4" w:space="0"/>
            </w:tcBorders>
            <w:shd w:val="clear" w:color="auto" w:fill="auto"/>
            <w:vAlign w:val="center"/>
          </w:tcPr>
          <w:p w14:paraId="4CD1C32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功能包括产能分析、统计分析、设备运维、看板管理、ESOP、数据安全归档、工业专网、数据安全归档、故障告警</w:t>
            </w:r>
          </w:p>
        </w:tc>
        <w:tc>
          <w:tcPr>
            <w:tcW w:w="1553" w:type="dxa"/>
            <w:tcBorders>
              <w:top w:val="single" w:color="auto" w:sz="4" w:space="0"/>
              <w:left w:val="nil"/>
              <w:bottom w:val="single" w:color="auto" w:sz="4" w:space="0"/>
              <w:right w:val="single" w:color="auto" w:sz="4" w:space="0"/>
            </w:tcBorders>
            <w:shd w:val="clear" w:color="auto" w:fill="auto"/>
            <w:vAlign w:val="center"/>
          </w:tcPr>
          <w:p w14:paraId="26384B6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58B20DB4">
            <w:pPr>
              <w:spacing w:line="360" w:lineRule="auto"/>
              <w:jc w:val="center"/>
              <w:rPr>
                <w:rFonts w:hint="eastAsia" w:ascii="仿宋_GB2312" w:hAnsi="仿宋_GB2312" w:eastAsia="仿宋_GB2312" w:cs="仿宋_GB2312"/>
                <w:kern w:val="0"/>
                <w:sz w:val="24"/>
                <w:szCs w:val="24"/>
              </w:rPr>
            </w:pPr>
          </w:p>
        </w:tc>
      </w:tr>
      <w:tr w14:paraId="15D5E338">
        <w:tblPrEx>
          <w:tblCellMar>
            <w:top w:w="0" w:type="dxa"/>
            <w:left w:w="108" w:type="dxa"/>
            <w:bottom w:w="0" w:type="dxa"/>
            <w:right w:w="108" w:type="dxa"/>
          </w:tblCellMar>
        </w:tblPrEx>
        <w:trPr>
          <w:trHeight w:val="2192"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1C686E0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3" w:type="dxa"/>
            <w:tcBorders>
              <w:top w:val="single" w:color="auto" w:sz="4" w:space="0"/>
              <w:left w:val="nil"/>
              <w:bottom w:val="single" w:color="auto" w:sz="4" w:space="0"/>
              <w:right w:val="single" w:color="auto" w:sz="4" w:space="0"/>
            </w:tcBorders>
            <w:shd w:val="clear" w:color="auto" w:fill="auto"/>
            <w:vAlign w:val="center"/>
          </w:tcPr>
          <w:p w14:paraId="6D516EC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物流运输管理</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(iTMS)</w:t>
            </w:r>
          </w:p>
        </w:tc>
        <w:tc>
          <w:tcPr>
            <w:tcW w:w="3205" w:type="dxa"/>
            <w:tcBorders>
              <w:top w:val="single" w:color="auto" w:sz="4" w:space="0"/>
              <w:left w:val="nil"/>
              <w:bottom w:val="single" w:color="auto" w:sz="4" w:space="0"/>
              <w:right w:val="single" w:color="auto" w:sz="4" w:space="0"/>
            </w:tcBorders>
            <w:shd w:val="clear" w:color="auto" w:fill="auto"/>
            <w:vAlign w:val="center"/>
          </w:tcPr>
          <w:p w14:paraId="68130A7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基于生产制造企业的企业物流运输管理平台解决方案，以数据+能力+应用为核心架构，下层硬件+网络+数据连通汇集，中层形成能力，上层打造多项应用。</w:t>
            </w:r>
          </w:p>
        </w:tc>
        <w:tc>
          <w:tcPr>
            <w:tcW w:w="3509" w:type="dxa"/>
            <w:tcBorders>
              <w:top w:val="single" w:color="auto" w:sz="4" w:space="0"/>
              <w:left w:val="nil"/>
              <w:bottom w:val="single" w:color="auto" w:sz="4" w:space="0"/>
              <w:right w:val="single" w:color="auto" w:sz="4" w:space="0"/>
            </w:tcBorders>
            <w:shd w:val="clear" w:color="auto" w:fill="auto"/>
            <w:vAlign w:val="center"/>
          </w:tcPr>
          <w:p w14:paraId="3D85C9D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包括订单管理、运力管理、调度管理：库区调度、车辆在途监控、里程碑式预警，及时调整计划、电子回单管理、报表管理、司机APP等功能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509DA0B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4A2C45C1">
            <w:pPr>
              <w:spacing w:line="360" w:lineRule="auto"/>
              <w:jc w:val="center"/>
              <w:rPr>
                <w:rFonts w:hint="eastAsia" w:ascii="仿宋_GB2312" w:hAnsi="仿宋_GB2312" w:eastAsia="仿宋_GB2312" w:cs="仿宋_GB2312"/>
                <w:kern w:val="0"/>
                <w:sz w:val="24"/>
                <w:szCs w:val="24"/>
              </w:rPr>
            </w:pPr>
          </w:p>
        </w:tc>
      </w:tr>
      <w:tr w14:paraId="7961C0BA">
        <w:tblPrEx>
          <w:tblCellMar>
            <w:top w:w="0" w:type="dxa"/>
            <w:left w:w="108" w:type="dxa"/>
            <w:bottom w:w="0" w:type="dxa"/>
            <w:right w:w="108" w:type="dxa"/>
          </w:tblCellMar>
        </w:tblPrEx>
        <w:trPr>
          <w:trHeight w:val="343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497A87D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13" w:type="dxa"/>
            <w:tcBorders>
              <w:top w:val="single" w:color="auto" w:sz="4" w:space="0"/>
              <w:left w:val="nil"/>
              <w:bottom w:val="single" w:color="auto" w:sz="4" w:space="0"/>
              <w:right w:val="single" w:color="auto" w:sz="4" w:space="0"/>
            </w:tcBorders>
            <w:shd w:val="clear" w:color="auto" w:fill="auto"/>
            <w:vAlign w:val="center"/>
          </w:tcPr>
          <w:p w14:paraId="7CBA8BF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安全生产管理产品</w:t>
            </w:r>
          </w:p>
        </w:tc>
        <w:tc>
          <w:tcPr>
            <w:tcW w:w="3205" w:type="dxa"/>
            <w:tcBorders>
              <w:top w:val="single" w:color="auto" w:sz="4" w:space="0"/>
              <w:left w:val="nil"/>
              <w:bottom w:val="single" w:color="auto" w:sz="4" w:space="0"/>
              <w:right w:val="single" w:color="auto" w:sz="4" w:space="0"/>
            </w:tcBorders>
            <w:shd w:val="clear" w:color="auto" w:fill="auto"/>
            <w:vAlign w:val="center"/>
          </w:tcPr>
          <w:p w14:paraId="1B9941E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中国电信安全生产管理产品面向客户提供包含双重预防机制5个功能模块及1项安全信任接入服务的标准移动终端APP 。通过数字化、模块化和工具化的安全生产管理移动应用，解决企业风险最高的两大安全生产管理问题，降低安全管理工作强度，提高管理效率。</w:t>
            </w:r>
          </w:p>
        </w:tc>
        <w:tc>
          <w:tcPr>
            <w:tcW w:w="3509" w:type="dxa"/>
            <w:tcBorders>
              <w:top w:val="single" w:color="auto" w:sz="4" w:space="0"/>
              <w:left w:val="nil"/>
              <w:bottom w:val="single" w:color="auto" w:sz="4" w:space="0"/>
              <w:right w:val="single" w:color="auto" w:sz="4" w:space="0"/>
            </w:tcBorders>
            <w:shd w:val="clear" w:color="auto" w:fill="auto"/>
            <w:vAlign w:val="center"/>
          </w:tcPr>
          <w:p w14:paraId="6182F2D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包括危险源管理、隐患排查管理、危险作业许可管理、培训与能力管理、安全信息库、安全信任接入等功能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77AB28D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7C4A171E">
            <w:pPr>
              <w:spacing w:line="360" w:lineRule="auto"/>
              <w:jc w:val="center"/>
              <w:rPr>
                <w:rFonts w:hint="eastAsia" w:ascii="仿宋_GB2312" w:hAnsi="仿宋_GB2312" w:eastAsia="仿宋_GB2312" w:cs="仿宋_GB2312"/>
                <w:kern w:val="0"/>
                <w:sz w:val="24"/>
                <w:szCs w:val="24"/>
              </w:rPr>
            </w:pPr>
          </w:p>
        </w:tc>
      </w:tr>
      <w:tr w14:paraId="6D10CACB">
        <w:tblPrEx>
          <w:tblCellMar>
            <w:top w:w="0" w:type="dxa"/>
            <w:left w:w="108" w:type="dxa"/>
            <w:bottom w:w="0" w:type="dxa"/>
            <w:right w:w="108" w:type="dxa"/>
          </w:tblCellMar>
        </w:tblPrEx>
        <w:trPr>
          <w:trHeight w:val="2516" w:hRule="atLeast"/>
        </w:trPr>
        <w:tc>
          <w:tcPr>
            <w:tcW w:w="807" w:type="dxa"/>
            <w:tcBorders>
              <w:top w:val="single" w:color="auto" w:sz="4" w:space="0"/>
              <w:left w:val="single" w:color="auto" w:sz="4" w:space="0"/>
              <w:bottom w:val="single" w:color="auto" w:sz="4" w:space="0"/>
              <w:right w:val="single" w:color="auto" w:sz="4" w:space="0"/>
            </w:tcBorders>
            <w:shd w:val="clear" w:color="auto" w:fill="auto"/>
            <w:vAlign w:val="center"/>
          </w:tcPr>
          <w:p w14:paraId="362B950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3" w:type="dxa"/>
            <w:tcBorders>
              <w:top w:val="single" w:color="auto" w:sz="4" w:space="0"/>
              <w:left w:val="nil"/>
              <w:bottom w:val="single" w:color="auto" w:sz="4" w:space="0"/>
              <w:right w:val="single" w:color="auto" w:sz="4" w:space="0"/>
            </w:tcBorders>
            <w:shd w:val="clear" w:color="auto" w:fill="auto"/>
            <w:vAlign w:val="center"/>
          </w:tcPr>
          <w:p w14:paraId="4102331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无人值守过磅系统</w:t>
            </w:r>
          </w:p>
        </w:tc>
        <w:tc>
          <w:tcPr>
            <w:tcW w:w="3205" w:type="dxa"/>
            <w:tcBorders>
              <w:top w:val="single" w:color="auto" w:sz="4" w:space="0"/>
              <w:left w:val="nil"/>
              <w:bottom w:val="single" w:color="auto" w:sz="4" w:space="0"/>
              <w:right w:val="single" w:color="auto" w:sz="4" w:space="0"/>
            </w:tcBorders>
            <w:shd w:val="clear" w:color="auto" w:fill="auto"/>
            <w:vAlign w:val="center"/>
          </w:tcPr>
          <w:p w14:paraId="0C6F06F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随着5G、人工智能、物联网等技术发展，企业将传统业务流程向电子化、自动化升级，用智能监管取代人工监管，解决长期以来业务流转慢、效率低、漏洞多的难题。AI过磅产品本着科学管理，零漏洞的原则，旨在确保车辆和财产安全的基础上，尽量减少人为干预，减少企业的人工成本。</w:t>
            </w:r>
          </w:p>
        </w:tc>
        <w:tc>
          <w:tcPr>
            <w:tcW w:w="3509" w:type="dxa"/>
            <w:tcBorders>
              <w:top w:val="single" w:color="auto" w:sz="4" w:space="0"/>
              <w:left w:val="nil"/>
              <w:bottom w:val="single" w:color="auto" w:sz="4" w:space="0"/>
              <w:right w:val="single" w:color="auto" w:sz="4" w:space="0"/>
            </w:tcBorders>
            <w:shd w:val="clear" w:color="auto" w:fill="auto"/>
            <w:vAlign w:val="center"/>
          </w:tcPr>
          <w:p w14:paraId="1A6B3D7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包括作业全程监控、过磅过程AI分析、异常视频追溯、车牌识别等功能</w:t>
            </w:r>
          </w:p>
        </w:tc>
        <w:tc>
          <w:tcPr>
            <w:tcW w:w="1553" w:type="dxa"/>
            <w:tcBorders>
              <w:top w:val="single" w:color="auto" w:sz="4" w:space="0"/>
              <w:left w:val="nil"/>
              <w:bottom w:val="single" w:color="auto" w:sz="4" w:space="0"/>
              <w:right w:val="single" w:color="auto" w:sz="4" w:space="0"/>
            </w:tcBorders>
            <w:shd w:val="clear" w:color="auto" w:fill="auto"/>
            <w:vAlign w:val="center"/>
          </w:tcPr>
          <w:p w14:paraId="1F221B9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20万元～50万元</w:t>
            </w:r>
          </w:p>
        </w:tc>
        <w:tc>
          <w:tcPr>
            <w:tcW w:w="3839" w:type="dxa"/>
            <w:tcBorders>
              <w:top w:val="single" w:color="auto" w:sz="4" w:space="0"/>
              <w:left w:val="nil"/>
              <w:bottom w:val="single" w:color="auto" w:sz="4" w:space="0"/>
              <w:right w:val="single" w:color="auto" w:sz="4" w:space="0"/>
            </w:tcBorders>
            <w:shd w:val="clear" w:color="auto" w:fill="auto"/>
            <w:vAlign w:val="center"/>
          </w:tcPr>
          <w:p w14:paraId="7A88E7AF">
            <w:pPr>
              <w:spacing w:line="360" w:lineRule="auto"/>
              <w:jc w:val="center"/>
              <w:rPr>
                <w:rFonts w:hint="eastAsia" w:ascii="仿宋_GB2312" w:hAnsi="仿宋_GB2312" w:eastAsia="仿宋_GB2312" w:cs="仿宋_GB2312"/>
                <w:kern w:val="0"/>
                <w:sz w:val="24"/>
                <w:szCs w:val="24"/>
              </w:rPr>
            </w:pPr>
          </w:p>
        </w:tc>
      </w:tr>
    </w:tbl>
    <w:p w14:paraId="3840B2AD">
      <w:pPr>
        <w:rPr>
          <w:rFonts w:hint="eastAsia" w:ascii="仿宋_GB2312" w:hAnsi="仿宋_GB2312" w:eastAsia="仿宋_GB2312" w:cs="仿宋_GB2312"/>
          <w:bCs/>
          <w:sz w:val="32"/>
          <w:szCs w:val="32"/>
        </w:rPr>
      </w:pPr>
    </w:p>
    <w:p w14:paraId="2513641A">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73F3F755">
      <w:pPr>
        <w:spacing w:line="360" w:lineRule="auto"/>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（五）联合体成员：      广东用友软件有限公司</w:t>
      </w:r>
      <w:r>
        <w:rPr>
          <w:rFonts w:hint="eastAsia" w:ascii="仿宋_GB2312" w:hAnsi="仿宋_GB2312" w:eastAsia="仿宋_GB2312" w:cs="仿宋_GB2312"/>
          <w:bCs/>
          <w:szCs w:val="28"/>
        </w:rPr>
        <w:t xml:space="preserve">     </w:t>
      </w:r>
      <w:r>
        <w:rPr>
          <w:rFonts w:hint="eastAsia" w:ascii="仿宋_GB2312" w:hAnsi="仿宋_GB2312" w:eastAsia="仿宋_GB2312" w:cs="仿宋_GB2312"/>
          <w:bCs/>
          <w:sz w:val="32"/>
          <w:szCs w:val="32"/>
        </w:rPr>
        <w:t xml:space="preserve"> </w:t>
      </w:r>
    </w:p>
    <w:tbl>
      <w:tblPr>
        <w:tblStyle w:val="14"/>
        <w:tblW w:w="0" w:type="auto"/>
        <w:tblInd w:w="113" w:type="dxa"/>
        <w:tblLayout w:type="autofit"/>
        <w:tblCellMar>
          <w:top w:w="0" w:type="dxa"/>
          <w:left w:w="108" w:type="dxa"/>
          <w:bottom w:w="0" w:type="dxa"/>
          <w:right w:w="108" w:type="dxa"/>
        </w:tblCellMar>
      </w:tblPr>
      <w:tblGrid>
        <w:gridCol w:w="806"/>
        <w:gridCol w:w="1511"/>
        <w:gridCol w:w="2318"/>
        <w:gridCol w:w="4387"/>
        <w:gridCol w:w="1551"/>
        <w:gridCol w:w="3862"/>
      </w:tblGrid>
      <w:tr w14:paraId="4A859712">
        <w:tblPrEx>
          <w:tblCellMar>
            <w:top w:w="0" w:type="dxa"/>
            <w:left w:w="108" w:type="dxa"/>
            <w:bottom w:w="0" w:type="dxa"/>
            <w:right w:w="108" w:type="dxa"/>
          </w:tblCellMar>
        </w:tblPrEx>
        <w:trPr>
          <w:trHeight w:val="742"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164796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36934D0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18" w:type="dxa"/>
            <w:tcBorders>
              <w:top w:val="single" w:color="auto" w:sz="4" w:space="0"/>
              <w:left w:val="nil"/>
              <w:bottom w:val="single" w:color="auto" w:sz="4" w:space="0"/>
              <w:right w:val="single" w:color="auto" w:sz="4" w:space="0"/>
            </w:tcBorders>
            <w:shd w:val="clear" w:color="auto" w:fill="auto"/>
            <w:vAlign w:val="center"/>
          </w:tcPr>
          <w:p w14:paraId="4BFFA85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87" w:type="dxa"/>
            <w:tcBorders>
              <w:top w:val="single" w:color="auto" w:sz="4" w:space="0"/>
              <w:left w:val="nil"/>
              <w:bottom w:val="single" w:color="auto" w:sz="4" w:space="0"/>
              <w:right w:val="single" w:color="auto" w:sz="4" w:space="0"/>
            </w:tcBorders>
            <w:shd w:val="clear" w:color="auto" w:fill="auto"/>
            <w:vAlign w:val="center"/>
          </w:tcPr>
          <w:p w14:paraId="29E9E96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0DACA995">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62" w:type="dxa"/>
            <w:tcBorders>
              <w:top w:val="single" w:color="auto" w:sz="4" w:space="0"/>
              <w:left w:val="nil"/>
              <w:bottom w:val="single" w:color="auto" w:sz="4" w:space="0"/>
              <w:right w:val="single" w:color="auto" w:sz="4" w:space="0"/>
            </w:tcBorders>
            <w:shd w:val="clear" w:color="auto" w:fill="auto"/>
            <w:vAlign w:val="center"/>
          </w:tcPr>
          <w:p w14:paraId="33F26856">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20C88F5">
        <w:tblPrEx>
          <w:tblCellMar>
            <w:top w:w="0" w:type="dxa"/>
            <w:left w:w="108" w:type="dxa"/>
            <w:bottom w:w="0" w:type="dxa"/>
            <w:right w:w="108" w:type="dxa"/>
          </w:tblCellMar>
        </w:tblPrEx>
        <w:trPr>
          <w:trHeight w:val="2477"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201623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0A216ED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用友Yonsuite</w:t>
            </w:r>
          </w:p>
        </w:tc>
        <w:tc>
          <w:tcPr>
            <w:tcW w:w="2318" w:type="dxa"/>
            <w:tcBorders>
              <w:top w:val="single" w:color="auto" w:sz="4" w:space="0"/>
              <w:left w:val="nil"/>
              <w:bottom w:val="single" w:color="auto" w:sz="4" w:space="0"/>
              <w:right w:val="single" w:color="auto" w:sz="4" w:space="0"/>
            </w:tcBorders>
            <w:shd w:val="clear" w:color="auto" w:fill="auto"/>
            <w:vAlign w:val="center"/>
          </w:tcPr>
          <w:p w14:paraId="3FA5CA9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企业提供完善的企业资源计划管理解决方案，辅助搭建敏捷、高效、灵活的供应链计划体系，实现产销平衡、收支平衡，帮助企业管理做出决策与改善指标，有效提升企业管理效率，提高准确度与及时性。</w:t>
            </w:r>
          </w:p>
        </w:tc>
        <w:tc>
          <w:tcPr>
            <w:tcW w:w="4387" w:type="dxa"/>
            <w:tcBorders>
              <w:top w:val="single" w:color="auto" w:sz="4" w:space="0"/>
              <w:left w:val="nil"/>
              <w:bottom w:val="single" w:color="auto" w:sz="4" w:space="0"/>
              <w:right w:val="single" w:color="auto" w:sz="4" w:space="0"/>
            </w:tcBorders>
            <w:shd w:val="clear" w:color="auto" w:fill="auto"/>
            <w:vAlign w:val="center"/>
          </w:tcPr>
          <w:p w14:paraId="5659817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从销售接单，到生产计划、物料采购、仓库进出料管理、质量管理、财务与成本核算，使企业管理更加灵活的面对供需变动。掌握准确及时、完整信息的基础上，做出正确决策，采取准确管理的措施。</w:t>
            </w:r>
          </w:p>
        </w:tc>
        <w:tc>
          <w:tcPr>
            <w:tcW w:w="1551" w:type="dxa"/>
            <w:tcBorders>
              <w:top w:val="single" w:color="auto" w:sz="4" w:space="0"/>
              <w:left w:val="nil"/>
              <w:bottom w:val="single" w:color="auto" w:sz="4" w:space="0"/>
              <w:right w:val="single" w:color="auto" w:sz="4" w:space="0"/>
            </w:tcBorders>
            <w:shd w:val="clear" w:color="auto" w:fill="auto"/>
            <w:vAlign w:val="center"/>
          </w:tcPr>
          <w:p w14:paraId="42C9CBB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按功能模块和用户数计价，按年租赁；每个功能模块2000-20000元/年不等，每增加一个用户按1200元/用户收费</w:t>
            </w:r>
          </w:p>
        </w:tc>
        <w:tc>
          <w:tcPr>
            <w:tcW w:w="3862" w:type="dxa"/>
            <w:tcBorders>
              <w:top w:val="single" w:color="auto" w:sz="4" w:space="0"/>
              <w:left w:val="nil"/>
              <w:bottom w:val="single" w:color="auto" w:sz="4" w:space="0"/>
              <w:right w:val="single" w:color="auto" w:sz="4" w:space="0"/>
            </w:tcBorders>
            <w:shd w:val="clear" w:color="auto" w:fill="auto"/>
            <w:vAlign w:val="center"/>
          </w:tcPr>
          <w:p w14:paraId="5298F882">
            <w:pPr>
              <w:spacing w:line="360" w:lineRule="auto"/>
              <w:jc w:val="center"/>
              <w:rPr>
                <w:rFonts w:hint="eastAsia" w:ascii="仿宋_GB2312" w:hAnsi="仿宋_GB2312" w:eastAsia="仿宋_GB2312" w:cs="仿宋_GB2312"/>
                <w:kern w:val="0"/>
                <w:sz w:val="24"/>
                <w:szCs w:val="24"/>
              </w:rPr>
            </w:pPr>
          </w:p>
        </w:tc>
      </w:tr>
      <w:tr w14:paraId="031D50DA">
        <w:tblPrEx>
          <w:tblCellMar>
            <w:top w:w="0" w:type="dxa"/>
            <w:left w:w="108" w:type="dxa"/>
            <w:bottom w:w="0" w:type="dxa"/>
            <w:right w:w="108" w:type="dxa"/>
          </w:tblCellMar>
        </w:tblPrEx>
        <w:trPr>
          <w:trHeight w:val="2489"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5EED38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635C88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用友U9C</w:t>
            </w:r>
          </w:p>
        </w:tc>
        <w:tc>
          <w:tcPr>
            <w:tcW w:w="2318" w:type="dxa"/>
            <w:tcBorders>
              <w:top w:val="single" w:color="auto" w:sz="4" w:space="0"/>
              <w:left w:val="nil"/>
              <w:bottom w:val="single" w:color="auto" w:sz="4" w:space="0"/>
              <w:right w:val="single" w:color="auto" w:sz="4" w:space="0"/>
            </w:tcBorders>
            <w:shd w:val="clear" w:color="auto" w:fill="auto"/>
            <w:vAlign w:val="center"/>
          </w:tcPr>
          <w:p w14:paraId="485B68E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cloud聚焦制造企业九大核心场景:项目化制造、个性化定制、智能化生产、网络化协同、层级化考核、国际化经营、精细化成本、一体化应用和服务化转型，助推制造企业数智化转型，服务企业商业创新</w:t>
            </w:r>
          </w:p>
        </w:tc>
        <w:tc>
          <w:tcPr>
            <w:tcW w:w="4387" w:type="dxa"/>
            <w:tcBorders>
              <w:top w:val="single" w:color="auto" w:sz="4" w:space="0"/>
              <w:left w:val="nil"/>
              <w:bottom w:val="single" w:color="auto" w:sz="4" w:space="0"/>
              <w:right w:val="single" w:color="auto" w:sz="4" w:space="0"/>
            </w:tcBorders>
            <w:shd w:val="clear" w:color="auto" w:fill="auto"/>
            <w:vAlign w:val="center"/>
          </w:tcPr>
          <w:p w14:paraId="75D4D2D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是一款制造业云ERP，传承产品十余年发展及最佳实践，在数智时代全面运用5G、大数据、AIoT、AI等最新技术，为企业打造集设计制造、计划执行、项目制造、智能工厂、网络化协同、国际化、智能核算与智能分析一体的数智制造全场景方案。</w:t>
            </w:r>
          </w:p>
        </w:tc>
        <w:tc>
          <w:tcPr>
            <w:tcW w:w="1551" w:type="dxa"/>
            <w:tcBorders>
              <w:top w:val="single" w:color="auto" w:sz="4" w:space="0"/>
              <w:left w:val="nil"/>
              <w:bottom w:val="single" w:color="auto" w:sz="4" w:space="0"/>
              <w:right w:val="single" w:color="auto" w:sz="4" w:space="0"/>
            </w:tcBorders>
            <w:shd w:val="clear" w:color="auto" w:fill="auto"/>
            <w:vAlign w:val="center"/>
          </w:tcPr>
          <w:p w14:paraId="00A9694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按功能模块和用户数计价，按年租赁；或者部署在本地，每年交维保费。</w:t>
            </w:r>
          </w:p>
        </w:tc>
        <w:tc>
          <w:tcPr>
            <w:tcW w:w="3862" w:type="dxa"/>
            <w:tcBorders>
              <w:top w:val="single" w:color="auto" w:sz="4" w:space="0"/>
              <w:left w:val="nil"/>
              <w:bottom w:val="single" w:color="auto" w:sz="4" w:space="0"/>
              <w:right w:val="single" w:color="auto" w:sz="4" w:space="0"/>
            </w:tcBorders>
            <w:shd w:val="clear" w:color="auto" w:fill="auto"/>
            <w:vAlign w:val="center"/>
          </w:tcPr>
          <w:p w14:paraId="7E38CDA3">
            <w:pPr>
              <w:spacing w:line="360" w:lineRule="auto"/>
              <w:jc w:val="center"/>
              <w:rPr>
                <w:rFonts w:hint="eastAsia" w:ascii="仿宋_GB2312" w:hAnsi="仿宋_GB2312" w:eastAsia="仿宋_GB2312" w:cs="仿宋_GB2312"/>
                <w:kern w:val="0"/>
                <w:sz w:val="24"/>
                <w:szCs w:val="24"/>
              </w:rPr>
            </w:pPr>
          </w:p>
        </w:tc>
      </w:tr>
    </w:tbl>
    <w:p w14:paraId="16B3793D">
      <w:pPr>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br w:type="page"/>
      </w:r>
    </w:p>
    <w:p w14:paraId="7E3EDBEC">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（六）联合体成员：用友网络科技股份有限公司佛山分公司</w:t>
      </w:r>
    </w:p>
    <w:tbl>
      <w:tblPr>
        <w:tblStyle w:val="14"/>
        <w:tblW w:w="0" w:type="auto"/>
        <w:tblInd w:w="113" w:type="dxa"/>
        <w:tblLayout w:type="autofit"/>
        <w:tblCellMar>
          <w:top w:w="0" w:type="dxa"/>
          <w:left w:w="108" w:type="dxa"/>
          <w:bottom w:w="0" w:type="dxa"/>
          <w:right w:w="108" w:type="dxa"/>
        </w:tblCellMar>
      </w:tblPr>
      <w:tblGrid>
        <w:gridCol w:w="802"/>
        <w:gridCol w:w="1504"/>
        <w:gridCol w:w="2308"/>
        <w:gridCol w:w="4368"/>
        <w:gridCol w:w="1544"/>
        <w:gridCol w:w="3936"/>
      </w:tblGrid>
      <w:tr w14:paraId="306EA3FF">
        <w:tblPrEx>
          <w:tblCellMar>
            <w:top w:w="0" w:type="dxa"/>
            <w:left w:w="108" w:type="dxa"/>
            <w:bottom w:w="0" w:type="dxa"/>
            <w:right w:w="108" w:type="dxa"/>
          </w:tblCellMar>
        </w:tblPrEx>
        <w:trPr>
          <w:trHeight w:val="105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4C87D78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04" w:type="dxa"/>
            <w:tcBorders>
              <w:top w:val="single" w:color="auto" w:sz="4" w:space="0"/>
              <w:left w:val="nil"/>
              <w:bottom w:val="single" w:color="auto" w:sz="4" w:space="0"/>
              <w:right w:val="single" w:color="auto" w:sz="4" w:space="0"/>
            </w:tcBorders>
            <w:shd w:val="clear" w:color="auto" w:fill="auto"/>
            <w:vAlign w:val="center"/>
          </w:tcPr>
          <w:p w14:paraId="126369ED">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308" w:type="dxa"/>
            <w:tcBorders>
              <w:top w:val="single" w:color="auto" w:sz="4" w:space="0"/>
              <w:left w:val="nil"/>
              <w:bottom w:val="single" w:color="auto" w:sz="4" w:space="0"/>
              <w:right w:val="single" w:color="auto" w:sz="4" w:space="0"/>
            </w:tcBorders>
            <w:shd w:val="clear" w:color="auto" w:fill="auto"/>
            <w:vAlign w:val="center"/>
          </w:tcPr>
          <w:p w14:paraId="0AE35875">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4368" w:type="dxa"/>
            <w:tcBorders>
              <w:top w:val="single" w:color="auto" w:sz="4" w:space="0"/>
              <w:left w:val="nil"/>
              <w:bottom w:val="single" w:color="auto" w:sz="4" w:space="0"/>
              <w:right w:val="single" w:color="auto" w:sz="4" w:space="0"/>
            </w:tcBorders>
            <w:shd w:val="clear" w:color="auto" w:fill="auto"/>
            <w:vAlign w:val="center"/>
          </w:tcPr>
          <w:p w14:paraId="4EC52C3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44" w:type="dxa"/>
            <w:tcBorders>
              <w:top w:val="single" w:color="auto" w:sz="4" w:space="0"/>
              <w:left w:val="nil"/>
              <w:bottom w:val="single" w:color="auto" w:sz="4" w:space="0"/>
              <w:right w:val="single" w:color="auto" w:sz="4" w:space="0"/>
            </w:tcBorders>
            <w:shd w:val="clear" w:color="auto" w:fill="auto"/>
            <w:vAlign w:val="center"/>
          </w:tcPr>
          <w:p w14:paraId="7D3D034D">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36" w:type="dxa"/>
            <w:tcBorders>
              <w:top w:val="single" w:color="auto" w:sz="4" w:space="0"/>
              <w:left w:val="nil"/>
              <w:bottom w:val="single" w:color="auto" w:sz="4" w:space="0"/>
              <w:right w:val="single" w:color="auto" w:sz="4" w:space="0"/>
            </w:tcBorders>
            <w:shd w:val="clear" w:color="auto" w:fill="auto"/>
            <w:vAlign w:val="center"/>
          </w:tcPr>
          <w:p w14:paraId="28B4A75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4EF8AE0">
        <w:tblPrEx>
          <w:tblCellMar>
            <w:top w:w="0" w:type="dxa"/>
            <w:left w:w="108" w:type="dxa"/>
            <w:bottom w:w="0" w:type="dxa"/>
            <w:right w:w="108" w:type="dxa"/>
          </w:tblCellMar>
        </w:tblPrEx>
        <w:trPr>
          <w:trHeight w:val="236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1F964BE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04" w:type="dxa"/>
            <w:tcBorders>
              <w:top w:val="single" w:color="auto" w:sz="4" w:space="0"/>
              <w:left w:val="nil"/>
              <w:bottom w:val="single" w:color="auto" w:sz="4" w:space="0"/>
              <w:right w:val="single" w:color="auto" w:sz="4" w:space="0"/>
            </w:tcBorders>
            <w:shd w:val="clear" w:color="auto" w:fill="auto"/>
            <w:vAlign w:val="center"/>
          </w:tcPr>
          <w:p w14:paraId="63EA7D5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U9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35D8253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cloud提供财务管理、供应链、生产制造、项目管理、HR、营销、资产管理、数据分析、协同办公及移动应用，助力制造企业数字化转型。</w:t>
            </w:r>
          </w:p>
        </w:tc>
        <w:tc>
          <w:tcPr>
            <w:tcW w:w="4368" w:type="dxa"/>
            <w:tcBorders>
              <w:top w:val="single" w:color="auto" w:sz="4" w:space="0"/>
              <w:left w:val="nil"/>
              <w:bottom w:val="single" w:color="auto" w:sz="4" w:space="0"/>
              <w:right w:val="single" w:color="auto" w:sz="4" w:space="0"/>
            </w:tcBorders>
            <w:shd w:val="clear" w:color="auto" w:fill="auto"/>
            <w:vAlign w:val="center"/>
          </w:tcPr>
          <w:p w14:paraId="40186CF2">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0418621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3677246E">
            <w:pPr>
              <w:spacing w:line="360" w:lineRule="auto"/>
              <w:jc w:val="center"/>
              <w:rPr>
                <w:rFonts w:hint="eastAsia" w:ascii="仿宋_GB2312" w:hAnsi="仿宋_GB2312" w:eastAsia="仿宋_GB2312" w:cs="仿宋_GB2312"/>
                <w:kern w:val="0"/>
                <w:sz w:val="24"/>
                <w:szCs w:val="24"/>
              </w:rPr>
            </w:pPr>
          </w:p>
        </w:tc>
      </w:tr>
      <w:tr w14:paraId="72511176">
        <w:tblPrEx>
          <w:tblCellMar>
            <w:top w:w="0" w:type="dxa"/>
            <w:left w:w="108" w:type="dxa"/>
            <w:bottom w:w="0" w:type="dxa"/>
            <w:right w:w="108" w:type="dxa"/>
          </w:tblCellMar>
        </w:tblPrEx>
        <w:trPr>
          <w:trHeight w:val="236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54AF9E3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04" w:type="dxa"/>
            <w:tcBorders>
              <w:top w:val="single" w:color="auto" w:sz="4" w:space="0"/>
              <w:left w:val="nil"/>
              <w:bottom w:val="single" w:color="auto" w:sz="4" w:space="0"/>
              <w:right w:val="single" w:color="auto" w:sz="4" w:space="0"/>
            </w:tcBorders>
            <w:shd w:val="clear" w:color="auto" w:fill="auto"/>
            <w:vAlign w:val="center"/>
          </w:tcPr>
          <w:p w14:paraId="7055CB4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YonSuite</w:t>
            </w:r>
          </w:p>
        </w:tc>
        <w:tc>
          <w:tcPr>
            <w:tcW w:w="2308" w:type="dxa"/>
            <w:tcBorders>
              <w:top w:val="single" w:color="auto" w:sz="4" w:space="0"/>
              <w:left w:val="nil"/>
              <w:bottom w:val="single" w:color="auto" w:sz="4" w:space="0"/>
              <w:right w:val="single" w:color="auto" w:sz="4" w:space="0"/>
            </w:tcBorders>
            <w:shd w:val="clear" w:color="auto" w:fill="auto"/>
            <w:vAlign w:val="center"/>
          </w:tcPr>
          <w:p w14:paraId="2664ED3D">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用友YonSuite集成了财务管理、供应链、生产管理、HR、CRM、项目管理、数据分析及协同办公等功能，支持企业全面数字化运营。</w:t>
            </w:r>
          </w:p>
        </w:tc>
        <w:tc>
          <w:tcPr>
            <w:tcW w:w="4368" w:type="dxa"/>
            <w:tcBorders>
              <w:top w:val="single" w:color="auto" w:sz="4" w:space="0"/>
              <w:left w:val="nil"/>
              <w:bottom w:val="single" w:color="auto" w:sz="4" w:space="0"/>
              <w:right w:val="single" w:color="auto" w:sz="4" w:space="0"/>
            </w:tcBorders>
            <w:shd w:val="clear" w:color="auto" w:fill="auto"/>
            <w:vAlign w:val="center"/>
          </w:tcPr>
          <w:p w14:paraId="08EE13B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YonSuite是基于云原生架构，为成长型企业提供“营销、制造、采购、财务、人力、办公、平台”融合一体，支持企业全球化经营、社会化商业的云服务包。 YonSuite使能企业数字化、智能化发展，成就以客户为中心，数据驱动、实时运营，轻松管理的数智企业！</w:t>
            </w:r>
          </w:p>
        </w:tc>
        <w:tc>
          <w:tcPr>
            <w:tcW w:w="1544" w:type="dxa"/>
            <w:tcBorders>
              <w:top w:val="single" w:color="auto" w:sz="4" w:space="0"/>
              <w:left w:val="nil"/>
              <w:bottom w:val="single" w:color="auto" w:sz="4" w:space="0"/>
              <w:right w:val="single" w:color="auto" w:sz="4" w:space="0"/>
            </w:tcBorders>
            <w:shd w:val="clear" w:color="auto" w:fill="auto"/>
            <w:vAlign w:val="center"/>
          </w:tcPr>
          <w:p w14:paraId="3076B25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5万元-50万元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54A568AF">
            <w:pPr>
              <w:spacing w:line="360" w:lineRule="auto"/>
              <w:jc w:val="center"/>
              <w:rPr>
                <w:rFonts w:hint="eastAsia" w:ascii="仿宋_GB2312" w:hAnsi="仿宋_GB2312" w:eastAsia="仿宋_GB2312" w:cs="仿宋_GB2312"/>
                <w:kern w:val="0"/>
                <w:sz w:val="24"/>
                <w:szCs w:val="24"/>
              </w:rPr>
            </w:pPr>
          </w:p>
        </w:tc>
      </w:tr>
      <w:tr w14:paraId="43216BF4">
        <w:tblPrEx>
          <w:tblCellMar>
            <w:top w:w="0" w:type="dxa"/>
            <w:left w:w="108" w:type="dxa"/>
            <w:bottom w:w="0" w:type="dxa"/>
            <w:right w:w="108" w:type="dxa"/>
          </w:tblCellMar>
        </w:tblPrEx>
        <w:trPr>
          <w:trHeight w:val="236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2B17C01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04" w:type="dxa"/>
            <w:tcBorders>
              <w:top w:val="single" w:color="auto" w:sz="4" w:space="0"/>
              <w:left w:val="nil"/>
              <w:bottom w:val="single" w:color="auto" w:sz="4" w:space="0"/>
              <w:right w:val="single" w:color="auto" w:sz="4" w:space="0"/>
            </w:tcBorders>
            <w:shd w:val="clear" w:color="auto" w:fill="auto"/>
            <w:vAlign w:val="center"/>
          </w:tcPr>
          <w:p w14:paraId="4932409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U8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27E5178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用友U8cloud涵盖财务管理、供应链、生产制造、项目管理、人力资源、营销创新、智能财务、数据分析及协同办公，支持企业全面数字化管理。</w:t>
            </w:r>
          </w:p>
        </w:tc>
        <w:tc>
          <w:tcPr>
            <w:tcW w:w="4368" w:type="dxa"/>
            <w:tcBorders>
              <w:top w:val="single" w:color="auto" w:sz="4" w:space="0"/>
              <w:left w:val="nil"/>
              <w:bottom w:val="single" w:color="auto" w:sz="4" w:space="0"/>
              <w:right w:val="single" w:color="auto" w:sz="4" w:space="0"/>
            </w:tcBorders>
            <w:shd w:val="clear" w:color="auto" w:fill="auto"/>
            <w:vAlign w:val="center"/>
          </w:tcPr>
          <w:p w14:paraId="1AC4901B">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聚焦高速小集团与成长型集团，提供企业级云ERP整体解决方案，安全可信、合规可靠，全面支持多组织业务协同、 营销创新、智能财务、智能报账、智能供应链、智能人力等，融合用友云服务实现企业互联网资源连接、共享、协同，赋能中国成长型企业高速发展、云化创新。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01D90B2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7E8E1C4D">
            <w:pPr>
              <w:spacing w:line="360" w:lineRule="auto"/>
              <w:jc w:val="center"/>
              <w:rPr>
                <w:rFonts w:hint="eastAsia" w:ascii="仿宋_GB2312" w:hAnsi="仿宋_GB2312" w:eastAsia="仿宋_GB2312" w:cs="仿宋_GB2312"/>
                <w:kern w:val="0"/>
                <w:sz w:val="24"/>
                <w:szCs w:val="24"/>
              </w:rPr>
            </w:pPr>
          </w:p>
        </w:tc>
      </w:tr>
      <w:tr w14:paraId="2A5A6817">
        <w:tblPrEx>
          <w:tblCellMar>
            <w:top w:w="0" w:type="dxa"/>
            <w:left w:w="108" w:type="dxa"/>
            <w:bottom w:w="0" w:type="dxa"/>
            <w:right w:w="108" w:type="dxa"/>
          </w:tblCellMar>
        </w:tblPrEx>
        <w:trPr>
          <w:trHeight w:val="1975"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74373B2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04" w:type="dxa"/>
            <w:tcBorders>
              <w:top w:val="single" w:color="auto" w:sz="4" w:space="0"/>
              <w:left w:val="nil"/>
              <w:bottom w:val="single" w:color="auto" w:sz="4" w:space="0"/>
              <w:right w:val="single" w:color="auto" w:sz="4" w:space="0"/>
            </w:tcBorders>
            <w:shd w:val="clear" w:color="auto" w:fill="auto"/>
            <w:vAlign w:val="center"/>
          </w:tcPr>
          <w:p w14:paraId="05E5BE1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数据应用服务</w:t>
            </w:r>
          </w:p>
        </w:tc>
        <w:tc>
          <w:tcPr>
            <w:tcW w:w="2308" w:type="dxa"/>
            <w:tcBorders>
              <w:top w:val="single" w:color="auto" w:sz="4" w:space="0"/>
              <w:left w:val="nil"/>
              <w:bottom w:val="single" w:color="auto" w:sz="4" w:space="0"/>
              <w:right w:val="single" w:color="auto" w:sz="4" w:space="0"/>
            </w:tcBorders>
            <w:shd w:val="clear" w:color="auto" w:fill="auto"/>
            <w:vAlign w:val="center"/>
          </w:tcPr>
          <w:p w14:paraId="59B90C6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用友数据应用服务提供数据集成、清洗、分析、报表生成及可视化展示等功能，支持企业决策制定和业务优化。</w:t>
            </w:r>
          </w:p>
        </w:tc>
        <w:tc>
          <w:tcPr>
            <w:tcW w:w="4368" w:type="dxa"/>
            <w:tcBorders>
              <w:top w:val="single" w:color="auto" w:sz="4" w:space="0"/>
              <w:left w:val="nil"/>
              <w:bottom w:val="single" w:color="auto" w:sz="4" w:space="0"/>
              <w:right w:val="single" w:color="auto" w:sz="4" w:space="0"/>
            </w:tcBorders>
            <w:shd w:val="clear" w:color="auto" w:fill="auto"/>
            <w:vAlign w:val="center"/>
          </w:tcPr>
          <w:p w14:paraId="2B1DCC25">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一键连接ERP，即开即用，预置董事长、总经理、财务总监、营销总监、采购总监、生产总监、质量总监等大屏，涵盖关键经营管理指标模型，帮助企业快速洞察经营管理及信息化差距，持续用数据驱动业务优化与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312D838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5万元-20万元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3A1BB4F3">
            <w:pPr>
              <w:spacing w:line="360" w:lineRule="auto"/>
              <w:jc w:val="center"/>
              <w:rPr>
                <w:rFonts w:hint="eastAsia" w:ascii="仿宋_GB2312" w:hAnsi="仿宋_GB2312" w:eastAsia="仿宋_GB2312" w:cs="仿宋_GB2312"/>
                <w:kern w:val="0"/>
                <w:sz w:val="24"/>
                <w:szCs w:val="24"/>
              </w:rPr>
            </w:pPr>
          </w:p>
        </w:tc>
      </w:tr>
      <w:tr w14:paraId="203A39A5">
        <w:tblPrEx>
          <w:tblCellMar>
            <w:top w:w="0" w:type="dxa"/>
            <w:left w:w="108" w:type="dxa"/>
            <w:bottom w:w="0" w:type="dxa"/>
            <w:right w:w="108" w:type="dxa"/>
          </w:tblCellMar>
        </w:tblPrEx>
        <w:trPr>
          <w:trHeight w:val="3155"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69580F8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04" w:type="dxa"/>
            <w:tcBorders>
              <w:top w:val="single" w:color="auto" w:sz="4" w:space="0"/>
              <w:left w:val="nil"/>
              <w:bottom w:val="single" w:color="auto" w:sz="4" w:space="0"/>
              <w:right w:val="single" w:color="auto" w:sz="4" w:space="0"/>
            </w:tcBorders>
            <w:shd w:val="clear" w:color="auto" w:fill="auto"/>
            <w:vAlign w:val="center"/>
          </w:tcPr>
          <w:p w14:paraId="72595BD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6925ACE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用友PLM Cloud提供产品数据管理、设计协同、变更管理、文档控制及生命周期管理等功能，助力企业高效管理产品开发流程。</w:t>
            </w:r>
          </w:p>
        </w:tc>
        <w:tc>
          <w:tcPr>
            <w:tcW w:w="4368" w:type="dxa"/>
            <w:tcBorders>
              <w:top w:val="single" w:color="auto" w:sz="4" w:space="0"/>
              <w:left w:val="nil"/>
              <w:bottom w:val="single" w:color="auto" w:sz="4" w:space="0"/>
              <w:right w:val="single" w:color="auto" w:sz="4" w:space="0"/>
            </w:tcBorders>
            <w:shd w:val="clear" w:color="auto" w:fill="auto"/>
            <w:vAlign w:val="center"/>
          </w:tcPr>
          <w:p w14:paraId="65674414">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 Cloud实现对物料自申请、创建、发布到变更、废止的全生命周期管理。对所有物料进行个性化分类管理和属性定义，对零部件实现ABC分析和分类归档整理。建立企业准确唯一的基础数据源，即建立统一的物料库，如标准件库、通用件库、专用件库、模块库、优选元器件库等。通过与ERP之间物料库的全属性互动，实现 合理的选用控制，帮助企业减少新零件数，降低物料不合理库存。</w:t>
            </w:r>
          </w:p>
        </w:tc>
        <w:tc>
          <w:tcPr>
            <w:tcW w:w="1544" w:type="dxa"/>
            <w:tcBorders>
              <w:top w:val="single" w:color="auto" w:sz="4" w:space="0"/>
              <w:left w:val="nil"/>
              <w:bottom w:val="single" w:color="auto" w:sz="4" w:space="0"/>
              <w:right w:val="single" w:color="auto" w:sz="4" w:space="0"/>
            </w:tcBorders>
            <w:shd w:val="clear" w:color="auto" w:fill="auto"/>
            <w:vAlign w:val="center"/>
          </w:tcPr>
          <w:p w14:paraId="45ABA08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643994FC">
            <w:pPr>
              <w:spacing w:line="360" w:lineRule="auto"/>
              <w:jc w:val="center"/>
              <w:rPr>
                <w:rFonts w:hint="eastAsia" w:ascii="仿宋_GB2312" w:hAnsi="仿宋_GB2312" w:eastAsia="仿宋_GB2312" w:cs="仿宋_GB2312"/>
                <w:kern w:val="0"/>
                <w:sz w:val="24"/>
                <w:szCs w:val="24"/>
              </w:rPr>
            </w:pPr>
          </w:p>
        </w:tc>
      </w:tr>
      <w:tr w14:paraId="2F43D155">
        <w:tblPrEx>
          <w:tblCellMar>
            <w:top w:w="0" w:type="dxa"/>
            <w:left w:w="108" w:type="dxa"/>
            <w:bottom w:w="0" w:type="dxa"/>
            <w:right w:w="108" w:type="dxa"/>
          </w:tblCellMar>
        </w:tblPrEx>
        <w:trPr>
          <w:trHeight w:val="3548"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74C2434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6</w:t>
            </w:r>
          </w:p>
        </w:tc>
        <w:tc>
          <w:tcPr>
            <w:tcW w:w="1504" w:type="dxa"/>
            <w:tcBorders>
              <w:top w:val="single" w:color="auto" w:sz="4" w:space="0"/>
              <w:left w:val="nil"/>
              <w:bottom w:val="single" w:color="auto" w:sz="4" w:space="0"/>
              <w:right w:val="single" w:color="auto" w:sz="4" w:space="0"/>
            </w:tcBorders>
            <w:shd w:val="clear" w:color="auto" w:fill="auto"/>
            <w:vAlign w:val="center"/>
          </w:tcPr>
          <w:p w14:paraId="5B9D1BC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YonBIP</w:t>
            </w:r>
          </w:p>
        </w:tc>
        <w:tc>
          <w:tcPr>
            <w:tcW w:w="2308" w:type="dxa"/>
            <w:tcBorders>
              <w:top w:val="single" w:color="auto" w:sz="4" w:space="0"/>
              <w:left w:val="nil"/>
              <w:bottom w:val="single" w:color="auto" w:sz="4" w:space="0"/>
              <w:right w:val="single" w:color="auto" w:sz="4" w:space="0"/>
            </w:tcBorders>
            <w:shd w:val="clear" w:color="auto" w:fill="auto"/>
            <w:vAlign w:val="center"/>
          </w:tcPr>
          <w:p w14:paraId="353F27F6">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用友YonBIP提供财务管理、供应链管理、生产制造、人力资源、CRM、项目管理、数据分析及协同办公等功能，支持企业数字化转型。</w:t>
            </w:r>
          </w:p>
        </w:tc>
        <w:tc>
          <w:tcPr>
            <w:tcW w:w="4368" w:type="dxa"/>
            <w:tcBorders>
              <w:top w:val="single" w:color="auto" w:sz="4" w:space="0"/>
              <w:left w:val="nil"/>
              <w:bottom w:val="single" w:color="auto" w:sz="4" w:space="0"/>
              <w:right w:val="single" w:color="auto" w:sz="4" w:space="0"/>
            </w:tcBorders>
            <w:shd w:val="clear" w:color="auto" w:fill="auto"/>
            <w:vAlign w:val="center"/>
          </w:tcPr>
          <w:p w14:paraId="52ECE89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YonBIP基于最新的大数据、人工智能、云计算、物联网 &amp;5G、移动互联网、区块链等数智技术，采用云原生(微服务)、元数据驱动、中台化、数用分离等新一代技术架构，构建技术平台、数据中台、智能中台和业务中台，并聚焦营销、采购、制造、供应链、金融、财务、人力、协同等八大核心领域，全面支撑企业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营管理与产业价值链协同，赋能企业商业创新，推动社会商业进步。</w:t>
            </w:r>
          </w:p>
        </w:tc>
        <w:tc>
          <w:tcPr>
            <w:tcW w:w="1544" w:type="dxa"/>
            <w:tcBorders>
              <w:top w:val="single" w:color="auto" w:sz="4" w:space="0"/>
              <w:left w:val="nil"/>
              <w:bottom w:val="single" w:color="auto" w:sz="4" w:space="0"/>
              <w:right w:val="single" w:color="auto" w:sz="4" w:space="0"/>
            </w:tcBorders>
            <w:shd w:val="clear" w:color="auto" w:fill="auto"/>
            <w:vAlign w:val="center"/>
          </w:tcPr>
          <w:p w14:paraId="65A331E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50万元-500万元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40BF7232">
            <w:pPr>
              <w:spacing w:line="360" w:lineRule="auto"/>
              <w:jc w:val="center"/>
              <w:rPr>
                <w:rFonts w:hint="eastAsia" w:ascii="仿宋_GB2312" w:hAnsi="仿宋_GB2312" w:eastAsia="仿宋_GB2312" w:cs="仿宋_GB2312"/>
                <w:kern w:val="0"/>
                <w:sz w:val="24"/>
                <w:szCs w:val="24"/>
              </w:rPr>
            </w:pPr>
          </w:p>
        </w:tc>
      </w:tr>
      <w:tr w14:paraId="0F0D5C31">
        <w:tblPrEx>
          <w:tblCellMar>
            <w:top w:w="0" w:type="dxa"/>
            <w:left w:w="108" w:type="dxa"/>
            <w:bottom w:w="0" w:type="dxa"/>
            <w:right w:w="108" w:type="dxa"/>
          </w:tblCellMar>
        </w:tblPrEx>
        <w:trPr>
          <w:trHeight w:val="2380" w:hRule="atLeast"/>
        </w:trPr>
        <w:tc>
          <w:tcPr>
            <w:tcW w:w="802" w:type="dxa"/>
            <w:tcBorders>
              <w:top w:val="single" w:color="auto" w:sz="4" w:space="0"/>
              <w:left w:val="single" w:color="auto" w:sz="4" w:space="0"/>
              <w:bottom w:val="single" w:color="auto" w:sz="4" w:space="0"/>
              <w:right w:val="single" w:color="auto" w:sz="4" w:space="0"/>
            </w:tcBorders>
            <w:shd w:val="clear" w:color="auto" w:fill="auto"/>
            <w:vAlign w:val="center"/>
          </w:tcPr>
          <w:p w14:paraId="57C2831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04" w:type="dxa"/>
            <w:tcBorders>
              <w:top w:val="single" w:color="auto" w:sz="4" w:space="0"/>
              <w:left w:val="nil"/>
              <w:bottom w:val="single" w:color="auto" w:sz="4" w:space="0"/>
              <w:right w:val="single" w:color="auto" w:sz="4" w:space="0"/>
            </w:tcBorders>
            <w:shd w:val="clear" w:color="auto" w:fill="auto"/>
            <w:vAlign w:val="center"/>
          </w:tcPr>
          <w:p w14:paraId="5C2CFC8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U9 cloud</w:t>
            </w:r>
          </w:p>
        </w:tc>
        <w:tc>
          <w:tcPr>
            <w:tcW w:w="2308" w:type="dxa"/>
            <w:tcBorders>
              <w:top w:val="single" w:color="auto" w:sz="4" w:space="0"/>
              <w:left w:val="nil"/>
              <w:bottom w:val="single" w:color="auto" w:sz="4" w:space="0"/>
              <w:right w:val="single" w:color="auto" w:sz="4" w:space="0"/>
            </w:tcBorders>
            <w:shd w:val="clear" w:color="auto" w:fill="auto"/>
            <w:vAlign w:val="center"/>
          </w:tcPr>
          <w:p w14:paraId="44E1813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cloud提供财务管理、供应链、生产制造、项目管理、HR、营销、资产管理、数据分析、协同办公及移动应用，助力制造企业数字化转型。</w:t>
            </w:r>
          </w:p>
        </w:tc>
        <w:tc>
          <w:tcPr>
            <w:tcW w:w="4368" w:type="dxa"/>
            <w:tcBorders>
              <w:top w:val="single" w:color="auto" w:sz="4" w:space="0"/>
              <w:left w:val="nil"/>
              <w:bottom w:val="single" w:color="auto" w:sz="4" w:space="0"/>
              <w:right w:val="single" w:color="auto" w:sz="4" w:space="0"/>
            </w:tcBorders>
            <w:shd w:val="clear" w:color="auto" w:fill="auto"/>
            <w:vAlign w:val="center"/>
          </w:tcPr>
          <w:p w14:paraId="1A270C9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用友U9 cloud聚焦制造企业十大核心业务场景——网络化协同、智能化生产、精细化成本、一体化应用、个性化定制、项目化制造、国际化经营、层级化考核、服务化转型和数智化分析，助推制造企业数智化转型，服务企业商业创新！</w:t>
            </w:r>
          </w:p>
        </w:tc>
        <w:tc>
          <w:tcPr>
            <w:tcW w:w="1544" w:type="dxa"/>
            <w:tcBorders>
              <w:top w:val="single" w:color="auto" w:sz="4" w:space="0"/>
              <w:left w:val="nil"/>
              <w:bottom w:val="single" w:color="auto" w:sz="4" w:space="0"/>
              <w:right w:val="single" w:color="auto" w:sz="4" w:space="0"/>
            </w:tcBorders>
            <w:shd w:val="clear" w:color="auto" w:fill="auto"/>
            <w:vAlign w:val="center"/>
          </w:tcPr>
          <w:p w14:paraId="671A24F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50万元-100万元</w:t>
            </w:r>
          </w:p>
        </w:tc>
        <w:tc>
          <w:tcPr>
            <w:tcW w:w="3936" w:type="dxa"/>
            <w:tcBorders>
              <w:top w:val="single" w:color="auto" w:sz="4" w:space="0"/>
              <w:left w:val="nil"/>
              <w:bottom w:val="single" w:color="auto" w:sz="4" w:space="0"/>
              <w:right w:val="single" w:color="auto" w:sz="4" w:space="0"/>
            </w:tcBorders>
            <w:shd w:val="clear" w:color="auto" w:fill="auto"/>
            <w:vAlign w:val="center"/>
          </w:tcPr>
          <w:p w14:paraId="7108EF18">
            <w:pPr>
              <w:spacing w:line="360" w:lineRule="auto"/>
              <w:jc w:val="center"/>
              <w:rPr>
                <w:rFonts w:hint="eastAsia" w:ascii="仿宋_GB2312" w:hAnsi="仿宋_GB2312" w:eastAsia="仿宋_GB2312" w:cs="仿宋_GB2312"/>
                <w:kern w:val="0"/>
                <w:sz w:val="24"/>
                <w:szCs w:val="24"/>
              </w:rPr>
            </w:pPr>
          </w:p>
        </w:tc>
      </w:tr>
    </w:tbl>
    <w:p w14:paraId="0E968CB6">
      <w:pPr>
        <w:rPr>
          <w:rFonts w:hint="eastAsia" w:ascii="仿宋_GB2312" w:hAnsi="仿宋_GB2312" w:eastAsia="仿宋_GB2312" w:cs="仿宋_GB2312"/>
          <w:bCs/>
          <w:sz w:val="32"/>
          <w:szCs w:val="32"/>
          <w:lang w:eastAsia="zh-CN"/>
        </w:rPr>
      </w:pPr>
      <w:r>
        <w:rPr>
          <w:rFonts w:ascii="仿宋_GB2312" w:hAnsi="仿宋_GB2312" w:eastAsia="仿宋_GB2312" w:cs="仿宋_GB2312"/>
          <w:bCs/>
          <w:sz w:val="32"/>
          <w:szCs w:val="32"/>
        </w:rPr>
        <w:br w:type="page"/>
      </w:r>
      <w:r>
        <w:rPr>
          <w:rFonts w:hint="eastAsia" w:ascii="仿宋_GB2312" w:hAnsi="仿宋_GB2312" w:eastAsia="仿宋_GB2312" w:cs="仿宋_GB2312"/>
          <w:bCs/>
          <w:sz w:val="32"/>
          <w:szCs w:val="32"/>
        </w:rPr>
        <w:t xml:space="preserve">（七）联合体成员：     广东亿博信息技术有限公司  </w:t>
      </w:r>
    </w:p>
    <w:tbl>
      <w:tblPr>
        <w:tblStyle w:val="14"/>
        <w:tblW w:w="14435" w:type="dxa"/>
        <w:tblInd w:w="113" w:type="dxa"/>
        <w:tblLayout w:type="autofit"/>
        <w:tblCellMar>
          <w:top w:w="0" w:type="dxa"/>
          <w:left w:w="108" w:type="dxa"/>
          <w:bottom w:w="0" w:type="dxa"/>
          <w:right w:w="108" w:type="dxa"/>
        </w:tblCellMar>
      </w:tblPr>
      <w:tblGrid>
        <w:gridCol w:w="794"/>
        <w:gridCol w:w="1491"/>
        <w:gridCol w:w="3120"/>
        <w:gridCol w:w="3515"/>
        <w:gridCol w:w="1531"/>
        <w:gridCol w:w="3984"/>
      </w:tblGrid>
      <w:tr w14:paraId="2FB1877F">
        <w:tblPrEx>
          <w:tblCellMar>
            <w:top w:w="0" w:type="dxa"/>
            <w:left w:w="108" w:type="dxa"/>
            <w:bottom w:w="0" w:type="dxa"/>
            <w:right w:w="108" w:type="dxa"/>
          </w:tblCellMar>
        </w:tblPrEx>
        <w:trPr>
          <w:trHeight w:val="911"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40A0CB7A">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491" w:type="dxa"/>
            <w:tcBorders>
              <w:top w:val="single" w:color="auto" w:sz="4" w:space="0"/>
              <w:left w:val="nil"/>
              <w:bottom w:val="single" w:color="auto" w:sz="4" w:space="0"/>
              <w:right w:val="single" w:color="auto" w:sz="4" w:space="0"/>
            </w:tcBorders>
            <w:shd w:val="clear" w:color="auto" w:fill="auto"/>
            <w:vAlign w:val="center"/>
          </w:tcPr>
          <w:p w14:paraId="73AAEB59">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120" w:type="dxa"/>
            <w:tcBorders>
              <w:top w:val="single" w:color="auto" w:sz="4" w:space="0"/>
              <w:left w:val="nil"/>
              <w:bottom w:val="single" w:color="auto" w:sz="4" w:space="0"/>
              <w:right w:val="single" w:color="auto" w:sz="4" w:space="0"/>
            </w:tcBorders>
            <w:shd w:val="clear" w:color="auto" w:fill="auto"/>
            <w:vAlign w:val="center"/>
          </w:tcPr>
          <w:p w14:paraId="7F13A1F9">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515" w:type="dxa"/>
            <w:tcBorders>
              <w:top w:val="single" w:color="auto" w:sz="4" w:space="0"/>
              <w:left w:val="nil"/>
              <w:bottom w:val="single" w:color="auto" w:sz="4" w:space="0"/>
              <w:right w:val="single" w:color="auto" w:sz="4" w:space="0"/>
            </w:tcBorders>
            <w:shd w:val="clear" w:color="auto" w:fill="auto"/>
            <w:vAlign w:val="center"/>
          </w:tcPr>
          <w:p w14:paraId="2F39DC59">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31" w:type="dxa"/>
            <w:tcBorders>
              <w:top w:val="single" w:color="auto" w:sz="4" w:space="0"/>
              <w:left w:val="nil"/>
              <w:bottom w:val="single" w:color="auto" w:sz="4" w:space="0"/>
              <w:right w:val="single" w:color="auto" w:sz="4" w:space="0"/>
            </w:tcBorders>
            <w:shd w:val="clear" w:color="auto" w:fill="auto"/>
            <w:vAlign w:val="center"/>
          </w:tcPr>
          <w:p w14:paraId="59C704CB">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984" w:type="dxa"/>
            <w:tcBorders>
              <w:top w:val="single" w:color="auto" w:sz="4" w:space="0"/>
              <w:left w:val="nil"/>
              <w:bottom w:val="single" w:color="auto" w:sz="4" w:space="0"/>
              <w:right w:val="single" w:color="auto" w:sz="4" w:space="0"/>
            </w:tcBorders>
            <w:shd w:val="clear" w:color="auto" w:fill="auto"/>
            <w:vAlign w:val="center"/>
          </w:tcPr>
          <w:p w14:paraId="430FBE0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1549E5C1">
        <w:tblPrEx>
          <w:tblCellMar>
            <w:top w:w="0" w:type="dxa"/>
            <w:left w:w="108" w:type="dxa"/>
            <w:bottom w:w="0" w:type="dxa"/>
            <w:right w:w="108" w:type="dxa"/>
          </w:tblCellMar>
        </w:tblPrEx>
        <w:trPr>
          <w:trHeight w:val="1362"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48A7CEE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491" w:type="dxa"/>
            <w:tcBorders>
              <w:top w:val="single" w:color="auto" w:sz="4" w:space="0"/>
              <w:left w:val="nil"/>
              <w:bottom w:val="single" w:color="auto" w:sz="4" w:space="0"/>
              <w:right w:val="single" w:color="auto" w:sz="4" w:space="0"/>
            </w:tcBorders>
            <w:shd w:val="clear" w:color="auto" w:fill="auto"/>
            <w:vAlign w:val="center"/>
          </w:tcPr>
          <w:p w14:paraId="68BA585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亿博MES平台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4FDC5102">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亿博MES为中小型制造企业提供完善的智能智造解决方案，推动企业制造智能化，实现降本增效、精益生产</w:t>
            </w:r>
          </w:p>
        </w:tc>
        <w:tc>
          <w:tcPr>
            <w:tcW w:w="3515" w:type="dxa"/>
            <w:tcBorders>
              <w:top w:val="single" w:color="auto" w:sz="4" w:space="0"/>
              <w:left w:val="nil"/>
              <w:bottom w:val="single" w:color="auto" w:sz="4" w:space="0"/>
              <w:right w:val="single" w:color="auto" w:sz="4" w:space="0"/>
            </w:tcBorders>
            <w:shd w:val="clear" w:color="auto" w:fill="auto"/>
            <w:vAlign w:val="center"/>
          </w:tcPr>
          <w:p w14:paraId="521C8B2C">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从工序管理、工艺路线管理、设备管理、排程管理、工单管理、报工管理、来料检管理、产品检管理、生产入库管理、车间PDA端、看板管理等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2C1401D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30万元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169722F8">
            <w:pPr>
              <w:spacing w:line="360" w:lineRule="auto"/>
              <w:jc w:val="center"/>
              <w:rPr>
                <w:rFonts w:hint="eastAsia" w:ascii="仿宋_GB2312" w:hAnsi="仿宋_GB2312" w:eastAsia="仿宋_GB2312" w:cs="仿宋_GB2312"/>
                <w:kern w:val="0"/>
                <w:sz w:val="24"/>
                <w:szCs w:val="24"/>
              </w:rPr>
            </w:pPr>
          </w:p>
        </w:tc>
      </w:tr>
      <w:tr w14:paraId="775CF5DD">
        <w:tblPrEx>
          <w:tblCellMar>
            <w:top w:w="0" w:type="dxa"/>
            <w:left w:w="108" w:type="dxa"/>
            <w:bottom w:w="0" w:type="dxa"/>
            <w:right w:w="108" w:type="dxa"/>
          </w:tblCellMar>
        </w:tblPrEx>
        <w:trPr>
          <w:trHeight w:val="1700"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4EFFC8B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491" w:type="dxa"/>
            <w:tcBorders>
              <w:top w:val="single" w:color="auto" w:sz="4" w:space="0"/>
              <w:left w:val="nil"/>
              <w:bottom w:val="single" w:color="auto" w:sz="4" w:space="0"/>
              <w:right w:val="single" w:color="auto" w:sz="4" w:space="0"/>
            </w:tcBorders>
            <w:shd w:val="clear" w:color="auto" w:fill="auto"/>
            <w:vAlign w:val="center"/>
          </w:tcPr>
          <w:p w14:paraId="45C4301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12765FE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PLM平台为中小型制造企业提供完善的研发数字化解决方案，推动企业建立以研发管理为核心，打通研、产、供、销业务协同一体化</w:t>
            </w:r>
          </w:p>
        </w:tc>
        <w:tc>
          <w:tcPr>
            <w:tcW w:w="3515" w:type="dxa"/>
            <w:tcBorders>
              <w:top w:val="single" w:color="auto" w:sz="4" w:space="0"/>
              <w:left w:val="nil"/>
              <w:bottom w:val="single" w:color="auto" w:sz="4" w:space="0"/>
              <w:right w:val="single" w:color="auto" w:sz="4" w:space="0"/>
            </w:tcBorders>
            <w:shd w:val="clear" w:color="auto" w:fill="auto"/>
            <w:vAlign w:val="center"/>
          </w:tcPr>
          <w:p w14:paraId="624A6142">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从需求管理、项目管理、产品数据管理、工艺管理、设计软件集成、看板管理等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5A82053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45万元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490F839F">
            <w:pPr>
              <w:spacing w:line="360" w:lineRule="auto"/>
              <w:jc w:val="center"/>
              <w:rPr>
                <w:rFonts w:hint="eastAsia" w:ascii="仿宋_GB2312" w:hAnsi="仿宋_GB2312" w:eastAsia="仿宋_GB2312" w:cs="仿宋_GB2312"/>
                <w:kern w:val="0"/>
                <w:sz w:val="24"/>
                <w:szCs w:val="24"/>
              </w:rPr>
            </w:pPr>
          </w:p>
        </w:tc>
      </w:tr>
      <w:tr w14:paraId="61C75D41">
        <w:tblPrEx>
          <w:tblCellMar>
            <w:top w:w="0" w:type="dxa"/>
            <w:left w:w="108" w:type="dxa"/>
            <w:bottom w:w="0" w:type="dxa"/>
            <w:right w:w="108" w:type="dxa"/>
          </w:tblCellMar>
        </w:tblPrEx>
        <w:trPr>
          <w:trHeight w:val="3052"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44511AB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491" w:type="dxa"/>
            <w:tcBorders>
              <w:top w:val="single" w:color="auto" w:sz="4" w:space="0"/>
              <w:left w:val="nil"/>
              <w:bottom w:val="single" w:color="auto" w:sz="4" w:space="0"/>
              <w:right w:val="single" w:color="auto" w:sz="4" w:space="0"/>
            </w:tcBorders>
            <w:shd w:val="clear" w:color="auto" w:fill="auto"/>
            <w:vAlign w:val="center"/>
          </w:tcPr>
          <w:p w14:paraId="7679D86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ERP平台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3B70F5E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中小型制造企业提供完善的企业资源计划管理解决方案，提供一站式解决方案，通过集成管理确保数据在各部门间实时更新、共享，减少信息孤岛现象，提高整体运营效率，提高业务处理的准确性和速度提高企业效率、降低成本、加强数据管理、促进部门间沟通与合作，以及快速适应市场变化等方面。</w:t>
            </w:r>
          </w:p>
        </w:tc>
        <w:tc>
          <w:tcPr>
            <w:tcW w:w="3515" w:type="dxa"/>
            <w:tcBorders>
              <w:top w:val="single" w:color="auto" w:sz="4" w:space="0"/>
              <w:left w:val="nil"/>
              <w:bottom w:val="single" w:color="auto" w:sz="4" w:space="0"/>
              <w:right w:val="single" w:color="auto" w:sz="4" w:space="0"/>
            </w:tcBorders>
            <w:shd w:val="clear" w:color="auto" w:fill="auto"/>
            <w:vAlign w:val="center"/>
          </w:tcPr>
          <w:p w14:paraId="7795DE1A">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从产品管理、客户管理、供应商管理、计划管理、销售管理、采购管理、生产管理、成本管理、财务管理、看板管理等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4B76871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40万元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1D28D905">
            <w:pPr>
              <w:spacing w:line="360" w:lineRule="auto"/>
              <w:jc w:val="center"/>
              <w:rPr>
                <w:rFonts w:hint="eastAsia" w:ascii="仿宋_GB2312" w:hAnsi="仿宋_GB2312" w:eastAsia="仿宋_GB2312" w:cs="仿宋_GB2312"/>
                <w:kern w:val="0"/>
                <w:sz w:val="24"/>
                <w:szCs w:val="24"/>
              </w:rPr>
            </w:pPr>
          </w:p>
        </w:tc>
      </w:tr>
      <w:tr w14:paraId="39935635">
        <w:tblPrEx>
          <w:tblCellMar>
            <w:top w:w="0" w:type="dxa"/>
            <w:left w:w="108" w:type="dxa"/>
            <w:bottom w:w="0" w:type="dxa"/>
            <w:right w:w="108" w:type="dxa"/>
          </w:tblCellMar>
        </w:tblPrEx>
        <w:trPr>
          <w:trHeight w:val="2038"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38516A1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491" w:type="dxa"/>
            <w:tcBorders>
              <w:top w:val="single" w:color="auto" w:sz="4" w:space="0"/>
              <w:left w:val="nil"/>
              <w:bottom w:val="single" w:color="auto" w:sz="4" w:space="0"/>
              <w:right w:val="single" w:color="auto" w:sz="4" w:space="0"/>
            </w:tcBorders>
            <w:shd w:val="clear" w:color="auto" w:fill="auto"/>
            <w:vAlign w:val="center"/>
          </w:tcPr>
          <w:p w14:paraId="2660E32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亿博CRM平台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6DF647D8">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亿博CRM为中小型制造企业提供完善的数字化营销解决方案，实现线索、商机、报价、合同、订单、发货、回款的端到端拉通，助力企业营销体系全面数字化管理，实现营销管理的透明化</w:t>
            </w:r>
          </w:p>
        </w:tc>
        <w:tc>
          <w:tcPr>
            <w:tcW w:w="3515" w:type="dxa"/>
            <w:tcBorders>
              <w:top w:val="single" w:color="auto" w:sz="4" w:space="0"/>
              <w:left w:val="nil"/>
              <w:bottom w:val="single" w:color="auto" w:sz="4" w:space="0"/>
              <w:right w:val="single" w:color="auto" w:sz="4" w:space="0"/>
            </w:tcBorders>
            <w:shd w:val="clear" w:color="auto" w:fill="auto"/>
            <w:vAlign w:val="center"/>
          </w:tcPr>
          <w:p w14:paraId="1C2F2806">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从商机管理、客户管理、报价管理、招标管理、合同管理、订单管理管理、发货管理、财务管理、业务员移动端、看板管理等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581F401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35万元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41EA0732">
            <w:pPr>
              <w:spacing w:line="360" w:lineRule="auto"/>
              <w:jc w:val="center"/>
              <w:rPr>
                <w:rFonts w:hint="eastAsia" w:ascii="仿宋_GB2312" w:hAnsi="仿宋_GB2312" w:eastAsia="仿宋_GB2312" w:cs="仿宋_GB2312"/>
                <w:kern w:val="0"/>
                <w:sz w:val="24"/>
                <w:szCs w:val="24"/>
              </w:rPr>
            </w:pPr>
          </w:p>
        </w:tc>
      </w:tr>
      <w:tr w14:paraId="25DA8956">
        <w:tblPrEx>
          <w:tblCellMar>
            <w:top w:w="0" w:type="dxa"/>
            <w:left w:w="108" w:type="dxa"/>
            <w:bottom w:w="0" w:type="dxa"/>
            <w:right w:w="108" w:type="dxa"/>
          </w:tblCellMar>
        </w:tblPrEx>
        <w:trPr>
          <w:trHeight w:val="2386" w:hRule="atLeast"/>
        </w:trPr>
        <w:tc>
          <w:tcPr>
            <w:tcW w:w="794" w:type="dxa"/>
            <w:tcBorders>
              <w:top w:val="single" w:color="auto" w:sz="4" w:space="0"/>
              <w:left w:val="single" w:color="auto" w:sz="4" w:space="0"/>
              <w:bottom w:val="single" w:color="auto" w:sz="4" w:space="0"/>
              <w:right w:val="single" w:color="auto" w:sz="4" w:space="0"/>
            </w:tcBorders>
            <w:shd w:val="clear" w:color="auto" w:fill="auto"/>
            <w:vAlign w:val="center"/>
          </w:tcPr>
          <w:p w14:paraId="645EF0A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491" w:type="dxa"/>
            <w:tcBorders>
              <w:top w:val="single" w:color="auto" w:sz="4" w:space="0"/>
              <w:left w:val="nil"/>
              <w:bottom w:val="single" w:color="auto" w:sz="4" w:space="0"/>
              <w:right w:val="single" w:color="auto" w:sz="4" w:space="0"/>
            </w:tcBorders>
            <w:shd w:val="clear" w:color="auto" w:fill="auto"/>
            <w:vAlign w:val="center"/>
          </w:tcPr>
          <w:p w14:paraId="2943998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亿博用户服务平台</w:t>
            </w:r>
          </w:p>
        </w:tc>
        <w:tc>
          <w:tcPr>
            <w:tcW w:w="3120" w:type="dxa"/>
            <w:tcBorders>
              <w:top w:val="single" w:color="auto" w:sz="4" w:space="0"/>
              <w:left w:val="nil"/>
              <w:bottom w:val="single" w:color="auto" w:sz="4" w:space="0"/>
              <w:right w:val="single" w:color="auto" w:sz="4" w:space="0"/>
            </w:tcBorders>
            <w:shd w:val="clear" w:color="auto" w:fill="auto"/>
            <w:vAlign w:val="center"/>
          </w:tcPr>
          <w:p w14:paraId="2166905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亿博用户服务平台为中小型制造企业提供完善的数字化服务解决方案</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，通过数字化手段连接用户、服务工程师，助力企业服务体系全面数字化管理，提高用户使用产品服务体验，增强品牌影响力</w:t>
            </w:r>
          </w:p>
        </w:tc>
        <w:tc>
          <w:tcPr>
            <w:tcW w:w="3515" w:type="dxa"/>
            <w:tcBorders>
              <w:top w:val="single" w:color="auto" w:sz="4" w:space="0"/>
              <w:left w:val="nil"/>
              <w:bottom w:val="single" w:color="auto" w:sz="4" w:space="0"/>
              <w:right w:val="single" w:color="auto" w:sz="4" w:space="0"/>
            </w:tcBorders>
            <w:shd w:val="clear" w:color="auto" w:fill="auto"/>
            <w:vAlign w:val="center"/>
          </w:tcPr>
          <w:p w14:paraId="76BD06F7">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从服务商管理、工单管理、配件管理、结算管理、消费者服务大厅、服务工程师移动端、看板管理等</w:t>
            </w:r>
          </w:p>
        </w:tc>
        <w:tc>
          <w:tcPr>
            <w:tcW w:w="1531" w:type="dxa"/>
            <w:tcBorders>
              <w:top w:val="single" w:color="auto" w:sz="4" w:space="0"/>
              <w:left w:val="nil"/>
              <w:bottom w:val="single" w:color="auto" w:sz="4" w:space="0"/>
              <w:right w:val="single" w:color="auto" w:sz="4" w:space="0"/>
            </w:tcBorders>
            <w:shd w:val="clear" w:color="auto" w:fill="auto"/>
            <w:vAlign w:val="center"/>
          </w:tcPr>
          <w:p w14:paraId="4CC1210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25万元</w:t>
            </w:r>
          </w:p>
        </w:tc>
        <w:tc>
          <w:tcPr>
            <w:tcW w:w="3984" w:type="dxa"/>
            <w:tcBorders>
              <w:top w:val="single" w:color="auto" w:sz="4" w:space="0"/>
              <w:left w:val="nil"/>
              <w:bottom w:val="single" w:color="auto" w:sz="4" w:space="0"/>
              <w:right w:val="single" w:color="auto" w:sz="4" w:space="0"/>
            </w:tcBorders>
            <w:shd w:val="clear" w:color="auto" w:fill="auto"/>
            <w:vAlign w:val="center"/>
          </w:tcPr>
          <w:p w14:paraId="281BCCCD">
            <w:pPr>
              <w:spacing w:line="360" w:lineRule="auto"/>
              <w:jc w:val="center"/>
              <w:rPr>
                <w:rFonts w:hint="eastAsia" w:ascii="仿宋_GB2312" w:hAnsi="仿宋_GB2312" w:eastAsia="仿宋_GB2312" w:cs="仿宋_GB2312"/>
                <w:kern w:val="0"/>
                <w:sz w:val="24"/>
                <w:szCs w:val="24"/>
              </w:rPr>
            </w:pPr>
          </w:p>
        </w:tc>
      </w:tr>
    </w:tbl>
    <w:p w14:paraId="4BD36AA1">
      <w:pPr>
        <w:rPr>
          <w:rFonts w:hint="eastAsia" w:ascii="仿宋_GB2312" w:hAnsi="仿宋_GB2312" w:eastAsia="仿宋_GB2312" w:cs="仿宋_GB2312"/>
          <w:bCs/>
          <w:sz w:val="32"/>
          <w:szCs w:val="32"/>
        </w:rPr>
      </w:pPr>
    </w:p>
    <w:p w14:paraId="08AE79C9">
      <w:pPr>
        <w:rPr>
          <w:rFonts w:hint="eastAsia" w:ascii="仿宋_GB2312" w:hAnsi="仿宋_GB2312" w:eastAsia="仿宋_GB2312" w:cs="仿宋_GB2312"/>
          <w:bCs/>
          <w:sz w:val="32"/>
          <w:szCs w:val="32"/>
        </w:rPr>
      </w:pPr>
      <w:r>
        <w:rPr>
          <w:rFonts w:ascii="仿宋_GB2312" w:hAnsi="仿宋_GB2312" w:eastAsia="仿宋_GB2312" w:cs="仿宋_GB2312"/>
          <w:bCs/>
          <w:sz w:val="32"/>
          <w:szCs w:val="32"/>
        </w:rPr>
        <w:br w:type="page"/>
      </w:r>
    </w:p>
    <w:p w14:paraId="2882B896">
      <w:pPr>
        <w:spacing w:line="560" w:lineRule="exac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rPr>
        <w:t xml:space="preserve">（八）联合体成员：     广东壹公里数智科技有限公司    </w:t>
      </w:r>
    </w:p>
    <w:tbl>
      <w:tblPr>
        <w:tblStyle w:val="14"/>
        <w:tblW w:w="0" w:type="auto"/>
        <w:tblInd w:w="113" w:type="dxa"/>
        <w:tblLayout w:type="autofit"/>
        <w:tblCellMar>
          <w:top w:w="0" w:type="dxa"/>
          <w:left w:w="108" w:type="dxa"/>
          <w:bottom w:w="0" w:type="dxa"/>
          <w:right w:w="108" w:type="dxa"/>
        </w:tblCellMar>
      </w:tblPr>
      <w:tblGrid>
        <w:gridCol w:w="806"/>
        <w:gridCol w:w="1511"/>
        <w:gridCol w:w="2908"/>
        <w:gridCol w:w="3797"/>
        <w:gridCol w:w="1551"/>
        <w:gridCol w:w="3835"/>
      </w:tblGrid>
      <w:tr w14:paraId="11D306D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9F01E8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BD0A259">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2908" w:type="dxa"/>
            <w:tcBorders>
              <w:top w:val="single" w:color="auto" w:sz="4" w:space="0"/>
              <w:left w:val="nil"/>
              <w:bottom w:val="single" w:color="auto" w:sz="4" w:space="0"/>
              <w:right w:val="single" w:color="auto" w:sz="4" w:space="0"/>
            </w:tcBorders>
            <w:shd w:val="clear" w:color="auto" w:fill="auto"/>
            <w:vAlign w:val="center"/>
          </w:tcPr>
          <w:p w14:paraId="1DF100B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797" w:type="dxa"/>
            <w:tcBorders>
              <w:top w:val="single" w:color="auto" w:sz="4" w:space="0"/>
              <w:left w:val="nil"/>
              <w:bottom w:val="single" w:color="auto" w:sz="4" w:space="0"/>
              <w:right w:val="single" w:color="auto" w:sz="4" w:space="0"/>
            </w:tcBorders>
            <w:shd w:val="clear" w:color="auto" w:fill="auto"/>
            <w:vAlign w:val="center"/>
          </w:tcPr>
          <w:p w14:paraId="41B5DBF4">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551" w:type="dxa"/>
            <w:tcBorders>
              <w:top w:val="single" w:color="auto" w:sz="4" w:space="0"/>
              <w:left w:val="nil"/>
              <w:bottom w:val="single" w:color="auto" w:sz="4" w:space="0"/>
              <w:right w:val="single" w:color="auto" w:sz="4" w:space="0"/>
            </w:tcBorders>
            <w:shd w:val="clear" w:color="auto" w:fill="auto"/>
            <w:vAlign w:val="center"/>
          </w:tcPr>
          <w:p w14:paraId="78C3E732">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835" w:type="dxa"/>
            <w:tcBorders>
              <w:top w:val="single" w:color="auto" w:sz="4" w:space="0"/>
              <w:left w:val="nil"/>
              <w:bottom w:val="single" w:color="auto" w:sz="4" w:space="0"/>
              <w:right w:val="single" w:color="auto" w:sz="4" w:space="0"/>
            </w:tcBorders>
            <w:shd w:val="clear" w:color="auto" w:fill="auto"/>
            <w:vAlign w:val="center"/>
          </w:tcPr>
          <w:p w14:paraId="0E8954EA">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330DE25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7BB1B1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100BDE50">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BossBI数据管理云化应用软件</w:t>
            </w:r>
          </w:p>
        </w:tc>
        <w:tc>
          <w:tcPr>
            <w:tcW w:w="2908" w:type="dxa"/>
            <w:tcBorders>
              <w:top w:val="single" w:color="auto" w:sz="4" w:space="0"/>
              <w:left w:val="nil"/>
              <w:bottom w:val="single" w:color="auto" w:sz="4" w:space="0"/>
              <w:right w:val="single" w:color="auto" w:sz="4" w:space="0"/>
            </w:tcBorders>
            <w:shd w:val="clear" w:color="auto" w:fill="auto"/>
            <w:vAlign w:val="center"/>
          </w:tcPr>
          <w:p w14:paraId="325C4E13">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本系统让企业决策快、准、精，通过异构数据的整合导入、跨数据源关联、探索式分析、交互式实时数据展示、多终端屏幕同步，以及团队分享、讨论、预警等协作功能，解决企业的数据分析和协作问题，将数据分析能力真正交还给业务人员。并且提供行业化模版，从营销、生产、售后、仓储、财务数据分析方面为企业赋能</w:t>
            </w:r>
          </w:p>
        </w:tc>
        <w:tc>
          <w:tcPr>
            <w:tcW w:w="3797" w:type="dxa"/>
            <w:tcBorders>
              <w:top w:val="single" w:color="auto" w:sz="4" w:space="0"/>
              <w:left w:val="nil"/>
              <w:bottom w:val="single" w:color="auto" w:sz="4" w:space="0"/>
              <w:right w:val="single" w:color="auto" w:sz="4" w:space="0"/>
            </w:tcBorders>
            <w:shd w:val="clear" w:color="auto" w:fill="auto"/>
            <w:vAlign w:val="center"/>
          </w:tcPr>
          <w:p w14:paraId="1A2BEC6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面向需要分析企业数据的各种类型的企业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2219A39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4万元-50万元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CA55562">
            <w:pPr>
              <w:spacing w:line="360" w:lineRule="auto"/>
              <w:jc w:val="center"/>
              <w:rPr>
                <w:rFonts w:hint="eastAsia" w:ascii="仿宋_GB2312" w:hAnsi="仿宋_GB2312" w:eastAsia="仿宋_GB2312" w:cs="仿宋_GB2312"/>
                <w:kern w:val="0"/>
                <w:sz w:val="24"/>
                <w:szCs w:val="24"/>
              </w:rPr>
            </w:pPr>
          </w:p>
        </w:tc>
      </w:tr>
      <w:tr w14:paraId="7E86D858">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6B0CA5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374F6849">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BossBI数据中台云化应用软件</w:t>
            </w:r>
          </w:p>
        </w:tc>
        <w:tc>
          <w:tcPr>
            <w:tcW w:w="2908" w:type="dxa"/>
            <w:tcBorders>
              <w:top w:val="single" w:color="auto" w:sz="4" w:space="0"/>
              <w:left w:val="nil"/>
              <w:bottom w:val="single" w:color="auto" w:sz="4" w:space="0"/>
              <w:right w:val="single" w:color="auto" w:sz="4" w:space="0"/>
            </w:tcBorders>
            <w:shd w:val="clear" w:color="auto" w:fill="auto"/>
            <w:vAlign w:val="center"/>
          </w:tcPr>
          <w:p w14:paraId="7C609BF2">
            <w:pPr>
              <w:widowControl/>
              <w:spacing w:line="360" w:lineRule="auto"/>
              <w:jc w:val="left"/>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本系统旨在帮助企业建立数字化转型的平台化产品，致力于解决企业数据孤岛、不一致和维护混乱等问题。系统实现了统一平台、统一数据、统一管理，构建了新一代数据架构体系，形成全价值链卓越数据能力。可将海量数据进行智能分析，深度挖掘数据的关联性和价值，为企业决策提供有力支持。它还具备标签化数据资源、开放API等特点，可以提升业务效率，助力企业应对数据挑战。</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此外，BossBI数据中台能完成企业生产过程中CRM、PLM、ERP等系统数据的融合，实现企业生产端到业务端流程的拉通。它是一个工具化、可视化、流程化的企业大数据管理平台，保障企业在数据采集、汇聚、转换、存储、治理、应用的全过程、全链路高效落地，为企业数智化转型提供有力支持。</w:t>
            </w:r>
          </w:p>
        </w:tc>
        <w:tc>
          <w:tcPr>
            <w:tcW w:w="3797" w:type="dxa"/>
            <w:tcBorders>
              <w:top w:val="single" w:color="auto" w:sz="4" w:space="0"/>
              <w:left w:val="nil"/>
              <w:bottom w:val="single" w:color="auto" w:sz="4" w:space="0"/>
              <w:right w:val="single" w:color="auto" w:sz="4" w:space="0"/>
            </w:tcBorders>
            <w:shd w:val="clear" w:color="auto" w:fill="auto"/>
            <w:vAlign w:val="center"/>
          </w:tcPr>
          <w:p w14:paraId="214B948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面向需要高效处理大量数据的企业使用，以实现数据资产的共享和复用的各种类型的企业</w:t>
            </w:r>
          </w:p>
        </w:tc>
        <w:tc>
          <w:tcPr>
            <w:tcW w:w="1551" w:type="dxa"/>
            <w:tcBorders>
              <w:top w:val="single" w:color="auto" w:sz="4" w:space="0"/>
              <w:left w:val="nil"/>
              <w:bottom w:val="single" w:color="auto" w:sz="4" w:space="0"/>
              <w:right w:val="single" w:color="auto" w:sz="4" w:space="0"/>
            </w:tcBorders>
            <w:shd w:val="clear" w:color="auto" w:fill="auto"/>
            <w:vAlign w:val="center"/>
          </w:tcPr>
          <w:p w14:paraId="6B8E5543">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20万元-200万元</w:t>
            </w:r>
          </w:p>
        </w:tc>
        <w:tc>
          <w:tcPr>
            <w:tcW w:w="3835" w:type="dxa"/>
            <w:tcBorders>
              <w:top w:val="single" w:color="auto" w:sz="4" w:space="0"/>
              <w:left w:val="nil"/>
              <w:bottom w:val="single" w:color="auto" w:sz="4" w:space="0"/>
              <w:right w:val="single" w:color="auto" w:sz="4" w:space="0"/>
            </w:tcBorders>
            <w:shd w:val="clear" w:color="auto" w:fill="auto"/>
            <w:vAlign w:val="center"/>
          </w:tcPr>
          <w:p w14:paraId="4E69D118">
            <w:pPr>
              <w:spacing w:line="360" w:lineRule="auto"/>
              <w:jc w:val="center"/>
              <w:rPr>
                <w:rFonts w:hint="eastAsia" w:ascii="仿宋_GB2312" w:hAnsi="仿宋_GB2312" w:eastAsia="仿宋_GB2312" w:cs="仿宋_GB2312"/>
                <w:kern w:val="0"/>
                <w:sz w:val="24"/>
                <w:szCs w:val="24"/>
              </w:rPr>
            </w:pPr>
          </w:p>
        </w:tc>
      </w:tr>
    </w:tbl>
    <w:p w14:paraId="1626A986">
      <w:pPr>
        <w:rPr>
          <w:rFonts w:hint="eastAsia" w:ascii="仿宋_GB2312" w:hAnsi="仿宋_GB2312" w:eastAsia="仿宋_GB2312" w:cs="仿宋_GB2312"/>
          <w:bCs/>
          <w:sz w:val="32"/>
          <w:szCs w:val="32"/>
        </w:rPr>
      </w:pPr>
    </w:p>
    <w:p w14:paraId="64422F67">
      <w:pPr>
        <w:spacing w:line="560" w:lineRule="exact"/>
        <w:rPr>
          <w:rFonts w:hint="eastAsia" w:ascii="仿宋_GB2312" w:hAnsi="仿宋_GB2312" w:eastAsia="仿宋_GB2312" w:cs="仿宋_GB2312"/>
          <w:bCs/>
          <w:sz w:val="32"/>
          <w:szCs w:val="32"/>
          <w:lang w:eastAsia="zh-CN"/>
        </w:rPr>
      </w:pPr>
      <w:r>
        <w:rPr>
          <w:rFonts w:ascii="仿宋_GB2312" w:hAnsi="仿宋_GB2312" w:eastAsia="仿宋_GB2312" w:cs="仿宋_GB2312"/>
          <w:bCs/>
          <w:sz w:val="32"/>
          <w:szCs w:val="32"/>
        </w:rPr>
        <w:br w:type="page"/>
      </w:r>
      <w:r>
        <w:rPr>
          <w:rFonts w:hint="eastAsia" w:ascii="仿宋_GB2312" w:hAnsi="仿宋_GB2312" w:eastAsia="仿宋_GB2312" w:cs="仿宋_GB2312"/>
          <w:bCs/>
          <w:sz w:val="32"/>
          <w:szCs w:val="32"/>
        </w:rPr>
        <w:t>（九）联合体成员：中国移动通信集团广东有限公司佛山分公司</w:t>
      </w:r>
    </w:p>
    <w:tbl>
      <w:tblPr>
        <w:tblStyle w:val="14"/>
        <w:tblW w:w="0" w:type="auto"/>
        <w:tblInd w:w="113" w:type="dxa"/>
        <w:tblLayout w:type="autofit"/>
        <w:tblCellMar>
          <w:top w:w="0" w:type="dxa"/>
          <w:left w:w="108" w:type="dxa"/>
          <w:bottom w:w="0" w:type="dxa"/>
          <w:right w:w="108" w:type="dxa"/>
        </w:tblCellMar>
      </w:tblPr>
      <w:tblGrid>
        <w:gridCol w:w="806"/>
        <w:gridCol w:w="1511"/>
        <w:gridCol w:w="3428"/>
        <w:gridCol w:w="3623"/>
        <w:gridCol w:w="1871"/>
        <w:gridCol w:w="3169"/>
      </w:tblGrid>
      <w:tr w14:paraId="5E5BCEB5">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A216552">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序号</w:t>
            </w:r>
          </w:p>
        </w:tc>
        <w:tc>
          <w:tcPr>
            <w:tcW w:w="1511" w:type="dxa"/>
            <w:tcBorders>
              <w:top w:val="single" w:color="auto" w:sz="4" w:space="0"/>
              <w:left w:val="nil"/>
              <w:bottom w:val="single" w:color="auto" w:sz="4" w:space="0"/>
              <w:right w:val="single" w:color="auto" w:sz="4" w:space="0"/>
            </w:tcBorders>
            <w:shd w:val="clear" w:color="auto" w:fill="auto"/>
            <w:vAlign w:val="center"/>
          </w:tcPr>
          <w:p w14:paraId="4E38F200">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产品名称</w:t>
            </w:r>
          </w:p>
        </w:tc>
        <w:tc>
          <w:tcPr>
            <w:tcW w:w="3428" w:type="dxa"/>
            <w:tcBorders>
              <w:top w:val="single" w:color="auto" w:sz="4" w:space="0"/>
              <w:left w:val="nil"/>
              <w:bottom w:val="single" w:color="auto" w:sz="4" w:space="0"/>
              <w:right w:val="single" w:color="auto" w:sz="4" w:space="0"/>
            </w:tcBorders>
            <w:shd w:val="clear" w:color="auto" w:fill="auto"/>
            <w:vAlign w:val="center"/>
          </w:tcPr>
          <w:p w14:paraId="79A8C376">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定位</w:t>
            </w:r>
          </w:p>
        </w:tc>
        <w:tc>
          <w:tcPr>
            <w:tcW w:w="3623" w:type="dxa"/>
            <w:tcBorders>
              <w:top w:val="single" w:color="auto" w:sz="4" w:space="0"/>
              <w:left w:val="nil"/>
              <w:bottom w:val="single" w:color="auto" w:sz="4" w:space="0"/>
              <w:right w:val="single" w:color="auto" w:sz="4" w:space="0"/>
            </w:tcBorders>
            <w:shd w:val="clear" w:color="auto" w:fill="auto"/>
            <w:vAlign w:val="center"/>
          </w:tcPr>
          <w:p w14:paraId="5A5F816C">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产品能力</w:t>
            </w:r>
          </w:p>
        </w:tc>
        <w:tc>
          <w:tcPr>
            <w:tcW w:w="1871" w:type="dxa"/>
            <w:tcBorders>
              <w:top w:val="single" w:color="auto" w:sz="4" w:space="0"/>
              <w:left w:val="nil"/>
              <w:bottom w:val="single" w:color="auto" w:sz="4" w:space="0"/>
              <w:right w:val="single" w:color="auto" w:sz="4" w:space="0"/>
            </w:tcBorders>
            <w:shd w:val="clear" w:color="auto" w:fill="auto"/>
            <w:vAlign w:val="center"/>
          </w:tcPr>
          <w:p w14:paraId="1CF4FA4E">
            <w:pPr>
              <w:widowControl/>
              <w:spacing w:line="360" w:lineRule="auto"/>
              <w:jc w:val="center"/>
              <w:rPr>
                <w:rFonts w:hint="eastAsia" w:ascii="仿宋_GB2312" w:hAnsi="等线" w:eastAsia="仿宋_GB2312" w:cs="宋体"/>
                <w:b/>
                <w:bCs/>
                <w:kern w:val="0"/>
                <w:sz w:val="24"/>
                <w:szCs w:val="24"/>
                <w:lang w:eastAsia="zh-Hans"/>
              </w:rPr>
            </w:pPr>
            <w:r>
              <w:rPr>
                <w:rFonts w:hint="eastAsia" w:ascii="仿宋_GB2312" w:hAnsi="等线" w:eastAsia="仿宋_GB2312" w:cs="宋体"/>
                <w:b/>
                <w:bCs/>
                <w:kern w:val="0"/>
                <w:sz w:val="24"/>
                <w:szCs w:val="24"/>
                <w:lang w:eastAsia="zh-Hans"/>
              </w:rPr>
              <w:t>产品价格</w:t>
            </w:r>
          </w:p>
        </w:tc>
        <w:tc>
          <w:tcPr>
            <w:tcW w:w="3169" w:type="dxa"/>
            <w:tcBorders>
              <w:top w:val="single" w:color="auto" w:sz="4" w:space="0"/>
              <w:left w:val="nil"/>
              <w:bottom w:val="single" w:color="auto" w:sz="4" w:space="0"/>
              <w:right w:val="single" w:color="auto" w:sz="4" w:space="0"/>
            </w:tcBorders>
            <w:shd w:val="clear" w:color="auto" w:fill="auto"/>
            <w:vAlign w:val="center"/>
          </w:tcPr>
          <w:p w14:paraId="7D3355A7">
            <w:pPr>
              <w:widowControl/>
              <w:spacing w:line="360" w:lineRule="auto"/>
              <w:jc w:val="center"/>
              <w:rPr>
                <w:rFonts w:hint="eastAsia" w:ascii="仿宋_GB2312" w:hAnsi="等线" w:eastAsia="仿宋_GB2312" w:cs="宋体"/>
                <w:b/>
                <w:bCs/>
                <w:kern w:val="0"/>
                <w:sz w:val="24"/>
                <w:szCs w:val="24"/>
              </w:rPr>
            </w:pPr>
            <w:r>
              <w:rPr>
                <w:rFonts w:hint="eastAsia" w:ascii="仿宋_GB2312" w:hAnsi="等线" w:eastAsia="仿宋_GB2312" w:cs="宋体"/>
                <w:b/>
                <w:bCs/>
                <w:kern w:val="0"/>
                <w:sz w:val="24"/>
                <w:szCs w:val="24"/>
              </w:rPr>
              <w:t>备注</w:t>
            </w:r>
          </w:p>
        </w:tc>
      </w:tr>
      <w:tr w14:paraId="6244A526">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B77FE5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1</w:t>
            </w:r>
          </w:p>
        </w:tc>
        <w:tc>
          <w:tcPr>
            <w:tcW w:w="1511" w:type="dxa"/>
            <w:tcBorders>
              <w:top w:val="single" w:color="auto" w:sz="4" w:space="0"/>
              <w:left w:val="nil"/>
              <w:bottom w:val="single" w:color="auto" w:sz="4" w:space="0"/>
              <w:right w:val="single" w:color="auto" w:sz="4" w:space="0"/>
            </w:tcBorders>
            <w:shd w:val="clear" w:color="auto" w:fill="auto"/>
            <w:vAlign w:val="center"/>
          </w:tcPr>
          <w:p w14:paraId="6564A5D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IOT数字化连接</w:t>
            </w:r>
          </w:p>
        </w:tc>
        <w:tc>
          <w:tcPr>
            <w:tcW w:w="3428" w:type="dxa"/>
            <w:tcBorders>
              <w:top w:val="single" w:color="auto" w:sz="4" w:space="0"/>
              <w:left w:val="nil"/>
              <w:bottom w:val="single" w:color="auto" w:sz="4" w:space="0"/>
              <w:right w:val="single" w:color="auto" w:sz="4" w:space="0"/>
            </w:tcBorders>
            <w:shd w:val="clear" w:color="auto" w:fill="auto"/>
            <w:vAlign w:val="center"/>
          </w:tcPr>
          <w:p w14:paraId="613C2F2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企业提供IOT物联网平台能力，集工业数据采集、接入、计算、存储、展示为一体。包含IoT连接管理和可视化运营平台两大模块：IoT连接管理助力企业数据和设备上云，云边协同管理平台提供多样的可视化及数据分析方案</w:t>
            </w:r>
          </w:p>
        </w:tc>
        <w:tc>
          <w:tcPr>
            <w:tcW w:w="3623" w:type="dxa"/>
            <w:tcBorders>
              <w:top w:val="single" w:color="auto" w:sz="4" w:space="0"/>
              <w:left w:val="nil"/>
              <w:bottom w:val="single" w:color="auto" w:sz="4" w:space="0"/>
              <w:right w:val="single" w:color="auto" w:sz="4" w:space="0"/>
            </w:tcBorders>
            <w:shd w:val="clear" w:color="auto" w:fill="auto"/>
            <w:vAlign w:val="center"/>
          </w:tcPr>
          <w:p w14:paraId="5CEAE960">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设备综合效率(OEE)损失减少，打通数据孤岛，连接企业现有系统，基于行业模板分析生产数据，辅助精准施策，有效提升生产效率；随时掌握设备运行情况，并对故障进行预测报警，远程操控检测和维修，有效降低维护成本</w:t>
            </w:r>
          </w:p>
        </w:tc>
        <w:tc>
          <w:tcPr>
            <w:tcW w:w="1871" w:type="dxa"/>
            <w:tcBorders>
              <w:top w:val="single" w:color="auto" w:sz="4" w:space="0"/>
              <w:left w:val="nil"/>
              <w:bottom w:val="single" w:color="auto" w:sz="4" w:space="0"/>
              <w:right w:val="single" w:color="auto" w:sz="4" w:space="0"/>
            </w:tcBorders>
            <w:shd w:val="clear" w:color="auto" w:fill="auto"/>
            <w:vAlign w:val="center"/>
          </w:tcPr>
          <w:p w14:paraId="3B07F6C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0.48万元*N/年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私有化部署：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90万元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N为设备数量</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硬件及定制开发内容根据实际情况进行评估</w:t>
            </w:r>
          </w:p>
        </w:tc>
        <w:tc>
          <w:tcPr>
            <w:tcW w:w="3169" w:type="dxa"/>
            <w:tcBorders>
              <w:top w:val="single" w:color="auto" w:sz="4" w:space="0"/>
              <w:left w:val="nil"/>
              <w:bottom w:val="single" w:color="auto" w:sz="4" w:space="0"/>
              <w:right w:val="single" w:color="auto" w:sz="4" w:space="0"/>
            </w:tcBorders>
            <w:shd w:val="clear" w:color="auto" w:fill="auto"/>
            <w:vAlign w:val="center"/>
          </w:tcPr>
          <w:p w14:paraId="3B92B6D0">
            <w:pPr>
              <w:spacing w:line="360" w:lineRule="auto"/>
              <w:jc w:val="center"/>
              <w:rPr>
                <w:rFonts w:hint="eastAsia" w:ascii="仿宋_GB2312" w:hAnsi="仿宋_GB2312" w:eastAsia="仿宋_GB2312" w:cs="仿宋_GB2312"/>
                <w:kern w:val="0"/>
                <w:sz w:val="24"/>
                <w:szCs w:val="24"/>
              </w:rPr>
            </w:pPr>
          </w:p>
        </w:tc>
      </w:tr>
      <w:tr w14:paraId="321C73DD">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7E809CC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2</w:t>
            </w:r>
          </w:p>
        </w:tc>
        <w:tc>
          <w:tcPr>
            <w:tcW w:w="1511" w:type="dxa"/>
            <w:tcBorders>
              <w:top w:val="single" w:color="auto" w:sz="4" w:space="0"/>
              <w:left w:val="nil"/>
              <w:bottom w:val="single" w:color="auto" w:sz="4" w:space="0"/>
              <w:right w:val="single" w:color="auto" w:sz="4" w:space="0"/>
            </w:tcBorders>
            <w:shd w:val="clear" w:color="auto" w:fill="auto"/>
            <w:vAlign w:val="center"/>
          </w:tcPr>
          <w:p w14:paraId="270BC022">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工业PON</w:t>
            </w:r>
          </w:p>
        </w:tc>
        <w:tc>
          <w:tcPr>
            <w:tcW w:w="3428" w:type="dxa"/>
            <w:tcBorders>
              <w:top w:val="single" w:color="auto" w:sz="4" w:space="0"/>
              <w:left w:val="nil"/>
              <w:bottom w:val="single" w:color="auto" w:sz="4" w:space="0"/>
              <w:right w:val="single" w:color="auto" w:sz="4" w:space="0"/>
            </w:tcBorders>
            <w:shd w:val="clear" w:color="auto" w:fill="auto"/>
            <w:vAlign w:val="center"/>
          </w:tcPr>
          <w:p w14:paraId="08D6AE9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打造全光网络：在客户侧下沉OLT、接入设备采用工业级ONU，实现工厂/园区全光组网，提供工业PON专网运维服务。</w:t>
            </w:r>
          </w:p>
        </w:tc>
        <w:tc>
          <w:tcPr>
            <w:tcW w:w="3623" w:type="dxa"/>
            <w:tcBorders>
              <w:top w:val="single" w:color="auto" w:sz="4" w:space="0"/>
              <w:left w:val="nil"/>
              <w:bottom w:val="single" w:color="auto" w:sz="4" w:space="0"/>
              <w:right w:val="single" w:color="auto" w:sz="4" w:space="0"/>
            </w:tcBorders>
            <w:shd w:val="clear" w:color="auto" w:fill="auto"/>
            <w:vAlign w:val="center"/>
          </w:tcPr>
          <w:p w14:paraId="2EF4D9A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OT和ICT融合：融合实现工厂内网络实现IP化、扁平化、低时延。</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数据贯通：完成企业各类信息系统和生产系统贯通，基于大数据实现智能制造。</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智能运维：灵活接入各类工业设备、检测设备、传感设备</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降本增效：建网成本下降，维护成本下降，网络性能提升。</w:t>
            </w:r>
          </w:p>
        </w:tc>
        <w:tc>
          <w:tcPr>
            <w:tcW w:w="1871" w:type="dxa"/>
            <w:tcBorders>
              <w:top w:val="single" w:color="auto" w:sz="4" w:space="0"/>
              <w:left w:val="nil"/>
              <w:bottom w:val="single" w:color="auto" w:sz="4" w:space="0"/>
              <w:right w:val="single" w:color="auto" w:sz="4" w:space="0"/>
            </w:tcBorders>
            <w:shd w:val="clear" w:color="auto" w:fill="auto"/>
            <w:vAlign w:val="center"/>
          </w:tcPr>
          <w:p w14:paraId="024FC79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500接入点/35万元</w:t>
            </w:r>
          </w:p>
        </w:tc>
        <w:tc>
          <w:tcPr>
            <w:tcW w:w="3169" w:type="dxa"/>
            <w:tcBorders>
              <w:top w:val="single" w:color="auto" w:sz="4" w:space="0"/>
              <w:left w:val="nil"/>
              <w:bottom w:val="single" w:color="auto" w:sz="4" w:space="0"/>
              <w:right w:val="single" w:color="auto" w:sz="4" w:space="0"/>
            </w:tcBorders>
            <w:shd w:val="clear" w:color="auto" w:fill="auto"/>
            <w:vAlign w:val="center"/>
          </w:tcPr>
          <w:p w14:paraId="49A8F4D3">
            <w:pPr>
              <w:spacing w:line="360" w:lineRule="auto"/>
              <w:jc w:val="center"/>
              <w:rPr>
                <w:rFonts w:hint="eastAsia" w:ascii="仿宋_GB2312" w:hAnsi="仿宋_GB2312" w:eastAsia="仿宋_GB2312" w:cs="仿宋_GB2312"/>
                <w:kern w:val="0"/>
                <w:sz w:val="24"/>
                <w:szCs w:val="24"/>
              </w:rPr>
            </w:pPr>
          </w:p>
        </w:tc>
      </w:tr>
      <w:tr w14:paraId="1D02F3B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0895AFF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3</w:t>
            </w:r>
          </w:p>
        </w:tc>
        <w:tc>
          <w:tcPr>
            <w:tcW w:w="1511" w:type="dxa"/>
            <w:tcBorders>
              <w:top w:val="single" w:color="auto" w:sz="4" w:space="0"/>
              <w:left w:val="nil"/>
              <w:bottom w:val="single" w:color="auto" w:sz="4" w:space="0"/>
              <w:right w:val="single" w:color="auto" w:sz="4" w:space="0"/>
            </w:tcBorders>
            <w:shd w:val="clear" w:color="auto" w:fill="auto"/>
            <w:vAlign w:val="center"/>
          </w:tcPr>
          <w:p w14:paraId="718D5A6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数字孪生</w:t>
            </w:r>
          </w:p>
        </w:tc>
        <w:tc>
          <w:tcPr>
            <w:tcW w:w="3428" w:type="dxa"/>
            <w:tcBorders>
              <w:top w:val="single" w:color="auto" w:sz="4" w:space="0"/>
              <w:left w:val="nil"/>
              <w:bottom w:val="single" w:color="auto" w:sz="4" w:space="0"/>
              <w:right w:val="single" w:color="auto" w:sz="4" w:space="0"/>
            </w:tcBorders>
            <w:shd w:val="clear" w:color="auto" w:fill="auto"/>
            <w:vAlign w:val="center"/>
          </w:tcPr>
          <w:p w14:paraId="56D2AF1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数字孪生将整个工厂数据统一分类和分析，实现工厂一张图管理，根据场景需求设计“安防态势、消防、通行、环境、生产、设备、能耗”等可视化专题，可随时随地了解工厂内人、事、物的实时状态，掌握全局态势，统一资源调度，实现全厂可视可管可控的目标。</w:t>
            </w:r>
          </w:p>
        </w:tc>
        <w:tc>
          <w:tcPr>
            <w:tcW w:w="3623" w:type="dxa"/>
            <w:tcBorders>
              <w:top w:val="single" w:color="auto" w:sz="4" w:space="0"/>
              <w:left w:val="nil"/>
              <w:bottom w:val="single" w:color="auto" w:sz="4" w:space="0"/>
              <w:right w:val="single" w:color="auto" w:sz="4" w:space="0"/>
            </w:tcBorders>
            <w:shd w:val="clear" w:color="auto" w:fill="auto"/>
            <w:vAlign w:val="center"/>
          </w:tcPr>
          <w:p w14:paraId="6B93AE5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汇聚海量数据，通过可视化图表清晰呈现日常运营数据，通过大数据分析为决策者提供数据支撑</w:t>
            </w:r>
          </w:p>
        </w:tc>
        <w:tc>
          <w:tcPr>
            <w:tcW w:w="1871" w:type="dxa"/>
            <w:tcBorders>
              <w:top w:val="single" w:color="auto" w:sz="4" w:space="0"/>
              <w:left w:val="nil"/>
              <w:bottom w:val="single" w:color="auto" w:sz="4" w:space="0"/>
              <w:right w:val="single" w:color="auto" w:sz="4" w:space="0"/>
            </w:tcBorders>
            <w:shd w:val="clear" w:color="auto" w:fill="auto"/>
            <w:vAlign w:val="center"/>
          </w:tcPr>
          <w:p w14:paraId="1B94272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工厂级：300万元-500万元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车间级：200万元-300万元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产线级：100万元-150万元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设备级：50万元-70万元</w:t>
            </w:r>
          </w:p>
        </w:tc>
        <w:tc>
          <w:tcPr>
            <w:tcW w:w="3169" w:type="dxa"/>
            <w:tcBorders>
              <w:top w:val="single" w:color="auto" w:sz="4" w:space="0"/>
              <w:left w:val="nil"/>
              <w:bottom w:val="single" w:color="auto" w:sz="4" w:space="0"/>
              <w:right w:val="single" w:color="auto" w:sz="4" w:space="0"/>
            </w:tcBorders>
            <w:shd w:val="clear" w:color="auto" w:fill="auto"/>
            <w:vAlign w:val="center"/>
          </w:tcPr>
          <w:p w14:paraId="1DAF0492">
            <w:pPr>
              <w:spacing w:line="360" w:lineRule="auto"/>
              <w:jc w:val="center"/>
              <w:rPr>
                <w:rFonts w:hint="eastAsia" w:ascii="仿宋_GB2312" w:hAnsi="仿宋_GB2312" w:eastAsia="仿宋_GB2312" w:cs="仿宋_GB2312"/>
                <w:kern w:val="0"/>
                <w:sz w:val="24"/>
                <w:szCs w:val="24"/>
              </w:rPr>
            </w:pPr>
          </w:p>
        </w:tc>
      </w:tr>
      <w:tr w14:paraId="063C6A0E">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54C87B4">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4</w:t>
            </w:r>
          </w:p>
        </w:tc>
        <w:tc>
          <w:tcPr>
            <w:tcW w:w="1511" w:type="dxa"/>
            <w:tcBorders>
              <w:top w:val="single" w:color="auto" w:sz="4" w:space="0"/>
              <w:left w:val="nil"/>
              <w:bottom w:val="single" w:color="auto" w:sz="4" w:space="0"/>
              <w:right w:val="single" w:color="auto" w:sz="4" w:space="0"/>
            </w:tcBorders>
            <w:shd w:val="clear" w:color="auto" w:fill="auto"/>
            <w:vAlign w:val="center"/>
          </w:tcPr>
          <w:p w14:paraId="33FEBE29">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5G+工业质检</w:t>
            </w:r>
          </w:p>
        </w:tc>
        <w:tc>
          <w:tcPr>
            <w:tcW w:w="3428" w:type="dxa"/>
            <w:tcBorders>
              <w:top w:val="single" w:color="auto" w:sz="4" w:space="0"/>
              <w:left w:val="nil"/>
              <w:bottom w:val="single" w:color="auto" w:sz="4" w:space="0"/>
              <w:right w:val="single" w:color="auto" w:sz="4" w:space="0"/>
            </w:tcBorders>
            <w:shd w:val="clear" w:color="auto" w:fill="auto"/>
            <w:vAlign w:val="center"/>
          </w:tcPr>
          <w:p w14:paraId="4ED2067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行业质检应用主要面向新能源光伏行业、汽车制造行业、3C制造行业等工业细分领域，基于基础平台构建特定行业下的通用质检产品和解决方案。基础功能包含智能检测、数据分析、算法管理、生产管理、可扩展接口、系统管理</w:t>
            </w:r>
          </w:p>
        </w:tc>
        <w:tc>
          <w:tcPr>
            <w:tcW w:w="3623" w:type="dxa"/>
            <w:tcBorders>
              <w:top w:val="single" w:color="auto" w:sz="4" w:space="0"/>
              <w:left w:val="nil"/>
              <w:bottom w:val="single" w:color="auto" w:sz="4" w:space="0"/>
              <w:right w:val="single" w:color="auto" w:sz="4" w:space="0"/>
            </w:tcBorders>
            <w:shd w:val="clear" w:color="auto" w:fill="auto"/>
            <w:vAlign w:val="center"/>
          </w:tcPr>
          <w:p w14:paraId="6A4E8EFE">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算法模型可靠性强，低误检，零漏检。打通MES、产线plc等系统接口。检测信息同步MES，实现质检结果可视化</w:t>
            </w:r>
          </w:p>
        </w:tc>
        <w:tc>
          <w:tcPr>
            <w:tcW w:w="1871" w:type="dxa"/>
            <w:tcBorders>
              <w:top w:val="single" w:color="auto" w:sz="4" w:space="0"/>
              <w:left w:val="nil"/>
              <w:bottom w:val="single" w:color="auto" w:sz="4" w:space="0"/>
              <w:right w:val="single" w:color="auto" w:sz="4" w:space="0"/>
            </w:tcBorders>
            <w:shd w:val="clear" w:color="auto" w:fill="auto"/>
            <w:vAlign w:val="center"/>
          </w:tcPr>
          <w:p w14:paraId="62D093F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50万元-100万元元/套</w:t>
            </w:r>
          </w:p>
        </w:tc>
        <w:tc>
          <w:tcPr>
            <w:tcW w:w="3169" w:type="dxa"/>
            <w:tcBorders>
              <w:top w:val="single" w:color="auto" w:sz="4" w:space="0"/>
              <w:left w:val="nil"/>
              <w:bottom w:val="single" w:color="auto" w:sz="4" w:space="0"/>
              <w:right w:val="single" w:color="auto" w:sz="4" w:space="0"/>
            </w:tcBorders>
            <w:shd w:val="clear" w:color="auto" w:fill="auto"/>
            <w:vAlign w:val="center"/>
          </w:tcPr>
          <w:p w14:paraId="76C967EF">
            <w:pPr>
              <w:spacing w:line="360" w:lineRule="auto"/>
              <w:jc w:val="center"/>
              <w:rPr>
                <w:rFonts w:hint="eastAsia" w:ascii="仿宋_GB2312" w:hAnsi="仿宋_GB2312" w:eastAsia="仿宋_GB2312" w:cs="仿宋_GB2312"/>
                <w:kern w:val="0"/>
                <w:sz w:val="24"/>
                <w:szCs w:val="24"/>
              </w:rPr>
            </w:pPr>
          </w:p>
        </w:tc>
      </w:tr>
      <w:tr w14:paraId="2D5CE737">
        <w:tblPrEx>
          <w:tblCellMar>
            <w:top w:w="0" w:type="dxa"/>
            <w:left w:w="108" w:type="dxa"/>
            <w:bottom w:w="0" w:type="dxa"/>
            <w:right w:w="108" w:type="dxa"/>
          </w:tblCellMar>
        </w:tblPrEx>
        <w:trPr>
          <w:trHeight w:val="60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56BD41E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bidi="ar"/>
              </w:rPr>
              <w:t>5</w:t>
            </w:r>
          </w:p>
        </w:tc>
        <w:tc>
          <w:tcPr>
            <w:tcW w:w="1511" w:type="dxa"/>
            <w:tcBorders>
              <w:top w:val="single" w:color="auto" w:sz="4" w:space="0"/>
              <w:left w:val="nil"/>
              <w:bottom w:val="single" w:color="auto" w:sz="4" w:space="0"/>
              <w:right w:val="single" w:color="auto" w:sz="4" w:space="0"/>
            </w:tcBorders>
            <w:shd w:val="clear" w:color="auto" w:fill="auto"/>
            <w:vAlign w:val="center"/>
          </w:tcPr>
          <w:p w14:paraId="3595F1D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工业能耗管理</w:t>
            </w:r>
          </w:p>
        </w:tc>
        <w:tc>
          <w:tcPr>
            <w:tcW w:w="3428" w:type="dxa"/>
            <w:tcBorders>
              <w:top w:val="single" w:color="auto" w:sz="4" w:space="0"/>
              <w:left w:val="nil"/>
              <w:bottom w:val="single" w:color="auto" w:sz="4" w:space="0"/>
              <w:right w:val="single" w:color="auto" w:sz="4" w:space="0"/>
            </w:tcBorders>
            <w:shd w:val="clear" w:color="auto" w:fill="auto"/>
            <w:vAlign w:val="center"/>
          </w:tcPr>
          <w:p w14:paraId="546BA46A">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为工业园区及企业提供能耗监控、统计、分析、预警服务包含监控中心、告警管理、作业中心、统计报表四大模块：监控中心提供用能数据监测，告警管理提供告警规则及通知管理，作业中心提供缺陷、维护、巡检、工单管理，统计报表提供电量、电费及工单报表</w:t>
            </w:r>
          </w:p>
        </w:tc>
        <w:tc>
          <w:tcPr>
            <w:tcW w:w="3623" w:type="dxa"/>
            <w:tcBorders>
              <w:top w:val="single" w:color="auto" w:sz="4" w:space="0"/>
              <w:left w:val="nil"/>
              <w:bottom w:val="single" w:color="auto" w:sz="4" w:space="0"/>
              <w:right w:val="single" w:color="auto" w:sz="4" w:space="0"/>
            </w:tcBorders>
            <w:shd w:val="clear" w:color="auto" w:fill="auto"/>
            <w:vAlign w:val="center"/>
          </w:tcPr>
          <w:p w14:paraId="408F522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降低企业用能成本</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提高用能安全水平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提高智能运维水平</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全面提高节能降碳能力</w:t>
            </w:r>
          </w:p>
        </w:tc>
        <w:tc>
          <w:tcPr>
            <w:tcW w:w="1871" w:type="dxa"/>
            <w:tcBorders>
              <w:top w:val="single" w:color="auto" w:sz="4" w:space="0"/>
              <w:left w:val="nil"/>
              <w:bottom w:val="single" w:color="auto" w:sz="4" w:space="0"/>
              <w:right w:val="single" w:color="auto" w:sz="4" w:space="0"/>
            </w:tcBorders>
            <w:shd w:val="clear" w:color="auto" w:fill="auto"/>
            <w:vAlign w:val="center"/>
          </w:tcPr>
          <w:p w14:paraId="554F34E6">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云化部署：15万元/年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私有化部署：75万元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实施部署及硬件费用按照实际情况评估</w:t>
            </w:r>
          </w:p>
        </w:tc>
        <w:tc>
          <w:tcPr>
            <w:tcW w:w="3169" w:type="dxa"/>
            <w:tcBorders>
              <w:top w:val="single" w:color="auto" w:sz="4" w:space="0"/>
              <w:left w:val="nil"/>
              <w:bottom w:val="single" w:color="auto" w:sz="4" w:space="0"/>
              <w:right w:val="single" w:color="auto" w:sz="4" w:space="0"/>
            </w:tcBorders>
            <w:shd w:val="clear" w:color="auto" w:fill="auto"/>
            <w:vAlign w:val="center"/>
          </w:tcPr>
          <w:p w14:paraId="5AAD4521">
            <w:pPr>
              <w:spacing w:line="360" w:lineRule="auto"/>
              <w:jc w:val="center"/>
              <w:rPr>
                <w:rFonts w:hint="eastAsia" w:ascii="仿宋_GB2312" w:hAnsi="仿宋_GB2312" w:eastAsia="仿宋_GB2312" w:cs="仿宋_GB2312"/>
                <w:kern w:val="0"/>
                <w:sz w:val="24"/>
                <w:szCs w:val="24"/>
              </w:rPr>
            </w:pPr>
          </w:p>
        </w:tc>
      </w:tr>
      <w:tr w14:paraId="6300E755">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601EF92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6</w:t>
            </w:r>
          </w:p>
        </w:tc>
        <w:tc>
          <w:tcPr>
            <w:tcW w:w="1511" w:type="dxa"/>
            <w:tcBorders>
              <w:top w:val="single" w:color="auto" w:sz="4" w:space="0"/>
              <w:left w:val="nil"/>
              <w:bottom w:val="single" w:color="auto" w:sz="4" w:space="0"/>
              <w:right w:val="single" w:color="auto" w:sz="4" w:space="0"/>
            </w:tcBorders>
            <w:shd w:val="clear" w:color="auto" w:fill="auto"/>
            <w:vAlign w:val="center"/>
          </w:tcPr>
          <w:p w14:paraId="1F4934A5">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工业标识解析应用</w:t>
            </w:r>
          </w:p>
        </w:tc>
        <w:tc>
          <w:tcPr>
            <w:tcW w:w="3428" w:type="dxa"/>
            <w:tcBorders>
              <w:top w:val="single" w:color="auto" w:sz="4" w:space="0"/>
              <w:left w:val="nil"/>
              <w:bottom w:val="single" w:color="auto" w:sz="4" w:space="0"/>
              <w:right w:val="single" w:color="auto" w:sz="4" w:space="0"/>
            </w:tcBorders>
            <w:shd w:val="clear" w:color="auto" w:fill="auto"/>
            <w:vAlign w:val="center"/>
          </w:tcPr>
          <w:p w14:paraId="567571DC">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包含标识应用私有化部署、公有化部署和二级节点代建三种产品形态，面向省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市移动或工业企业提供工业标识二级节点建设以及运营服务，面向中小企业提</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供云化标识应用，面向大型企业提供标识应用定制化服务。</w:t>
            </w:r>
          </w:p>
        </w:tc>
        <w:tc>
          <w:tcPr>
            <w:tcW w:w="3623" w:type="dxa"/>
            <w:tcBorders>
              <w:top w:val="single" w:color="auto" w:sz="4" w:space="0"/>
              <w:left w:val="nil"/>
              <w:bottom w:val="single" w:color="auto" w:sz="4" w:space="0"/>
              <w:right w:val="single" w:color="auto" w:sz="4" w:space="0"/>
            </w:tcBorders>
            <w:shd w:val="clear" w:color="auto" w:fill="auto"/>
            <w:vAlign w:val="center"/>
          </w:tcPr>
          <w:p w14:paraId="729DEF8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产品赋码：企业生产一批产品后，通过配置产品信息，生产对应批次标识码，支持将标识码打印至对应产品</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防伪防窜：企业通过查看出厂产品被扫码位置，追踪产品流向，防范产品被窜货</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标识智能管理：与企业硬件设备对接，实现一键赋码，减少操作流程</w:t>
            </w:r>
          </w:p>
        </w:tc>
        <w:tc>
          <w:tcPr>
            <w:tcW w:w="1871" w:type="dxa"/>
            <w:tcBorders>
              <w:top w:val="single" w:color="auto" w:sz="4" w:space="0"/>
              <w:left w:val="nil"/>
              <w:bottom w:val="single" w:color="auto" w:sz="4" w:space="0"/>
              <w:right w:val="single" w:color="auto" w:sz="4" w:space="0"/>
            </w:tcBorders>
            <w:shd w:val="clear" w:color="auto" w:fill="auto"/>
            <w:vAlign w:val="center"/>
          </w:tcPr>
          <w:p w14:paraId="2FFB938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云化部署：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标识管理：0.48万元*N/年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可信追溯：3.6万元*N/年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一物一码：1.2万元*N/年</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私有化部署：</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标识管理：8万元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可信追溯：40万元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一物一码：20万元</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工业标识二级节点：</w:t>
            </w:r>
            <w:r>
              <w:rPr>
                <w:rFonts w:hint="eastAsia" w:ascii="宋体" w:hAnsi="宋体" w:eastAsia="宋体" w:cs="宋体"/>
                <w:color w:val="000000"/>
                <w:kern w:val="0"/>
                <w:sz w:val="18"/>
                <w:szCs w:val="18"/>
                <w:lang w:bidi="ar"/>
              </w:rPr>
              <w:br w:type="textWrapping"/>
            </w:r>
            <w:r>
              <w:rPr>
                <w:rFonts w:hint="eastAsia" w:ascii="宋体" w:hAnsi="宋体" w:eastAsia="宋体" w:cs="宋体"/>
                <w:color w:val="000000"/>
                <w:kern w:val="0"/>
                <w:sz w:val="18"/>
                <w:szCs w:val="18"/>
                <w:lang w:bidi="ar"/>
              </w:rPr>
              <w:t>二级节点建设：300万元/套</w:t>
            </w:r>
          </w:p>
        </w:tc>
        <w:tc>
          <w:tcPr>
            <w:tcW w:w="3169" w:type="dxa"/>
            <w:tcBorders>
              <w:top w:val="single" w:color="auto" w:sz="4" w:space="0"/>
              <w:left w:val="nil"/>
              <w:bottom w:val="single" w:color="auto" w:sz="4" w:space="0"/>
              <w:right w:val="single" w:color="auto" w:sz="4" w:space="0"/>
            </w:tcBorders>
            <w:shd w:val="clear" w:color="auto" w:fill="auto"/>
            <w:vAlign w:val="center"/>
          </w:tcPr>
          <w:p w14:paraId="615812A3">
            <w:pPr>
              <w:spacing w:line="360" w:lineRule="auto"/>
              <w:jc w:val="center"/>
              <w:rPr>
                <w:rFonts w:hint="eastAsia" w:ascii="仿宋_GB2312" w:hAnsi="仿宋_GB2312" w:eastAsia="仿宋_GB2312" w:cs="仿宋_GB2312"/>
                <w:kern w:val="0"/>
                <w:sz w:val="24"/>
                <w:szCs w:val="24"/>
              </w:rPr>
            </w:pPr>
          </w:p>
        </w:tc>
      </w:tr>
      <w:tr w14:paraId="007817EB">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34B78EFB">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7</w:t>
            </w:r>
          </w:p>
        </w:tc>
        <w:tc>
          <w:tcPr>
            <w:tcW w:w="1511" w:type="dxa"/>
            <w:tcBorders>
              <w:top w:val="single" w:color="auto" w:sz="4" w:space="0"/>
              <w:left w:val="nil"/>
              <w:bottom w:val="single" w:color="auto" w:sz="4" w:space="0"/>
              <w:right w:val="single" w:color="auto" w:sz="4" w:space="0"/>
            </w:tcBorders>
            <w:shd w:val="clear" w:color="auto" w:fill="auto"/>
            <w:vAlign w:val="center"/>
          </w:tcPr>
          <w:p w14:paraId="00F50AA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工业ARVR</w:t>
            </w:r>
          </w:p>
        </w:tc>
        <w:tc>
          <w:tcPr>
            <w:tcW w:w="3428" w:type="dxa"/>
            <w:tcBorders>
              <w:top w:val="single" w:color="auto" w:sz="4" w:space="0"/>
              <w:left w:val="nil"/>
              <w:bottom w:val="single" w:color="auto" w:sz="4" w:space="0"/>
              <w:right w:val="single" w:color="auto" w:sz="4" w:space="0"/>
            </w:tcBorders>
            <w:shd w:val="clear" w:color="auto" w:fill="auto"/>
            <w:vAlign w:val="center"/>
          </w:tcPr>
          <w:p w14:paraId="53A574F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基于工业AVRV设备远程控制、远程现场等应用场景，实现车间在空间引导、工程机械远程操控、AR运维辅助、VR复杂装配培训、厂内产线设备控制等</w:t>
            </w:r>
          </w:p>
        </w:tc>
        <w:tc>
          <w:tcPr>
            <w:tcW w:w="3623" w:type="dxa"/>
            <w:tcBorders>
              <w:top w:val="single" w:color="auto" w:sz="4" w:space="0"/>
              <w:left w:val="nil"/>
              <w:bottom w:val="single" w:color="auto" w:sz="4" w:space="0"/>
              <w:right w:val="single" w:color="auto" w:sz="4" w:space="0"/>
            </w:tcBorders>
            <w:shd w:val="clear" w:color="auto" w:fill="auto"/>
            <w:vAlign w:val="center"/>
          </w:tcPr>
          <w:p w14:paraId="0D85F81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提升设备故障检修效率、减少车间人员投入、保障人员安全等</w:t>
            </w:r>
          </w:p>
        </w:tc>
        <w:tc>
          <w:tcPr>
            <w:tcW w:w="1871" w:type="dxa"/>
            <w:tcBorders>
              <w:top w:val="single" w:color="auto" w:sz="4" w:space="0"/>
              <w:left w:val="nil"/>
              <w:bottom w:val="single" w:color="auto" w:sz="4" w:space="0"/>
              <w:right w:val="single" w:color="auto" w:sz="4" w:space="0"/>
            </w:tcBorders>
            <w:shd w:val="clear" w:color="auto" w:fill="auto"/>
            <w:vAlign w:val="center"/>
          </w:tcPr>
          <w:p w14:paraId="678B31B1">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15万元/年</w:t>
            </w:r>
          </w:p>
        </w:tc>
        <w:tc>
          <w:tcPr>
            <w:tcW w:w="3169" w:type="dxa"/>
            <w:tcBorders>
              <w:top w:val="single" w:color="auto" w:sz="4" w:space="0"/>
              <w:left w:val="nil"/>
              <w:bottom w:val="single" w:color="auto" w:sz="4" w:space="0"/>
              <w:right w:val="single" w:color="auto" w:sz="4" w:space="0"/>
            </w:tcBorders>
            <w:shd w:val="clear" w:color="auto" w:fill="auto"/>
            <w:vAlign w:val="center"/>
          </w:tcPr>
          <w:p w14:paraId="61FE3B00">
            <w:pPr>
              <w:spacing w:line="360" w:lineRule="auto"/>
              <w:jc w:val="center"/>
              <w:rPr>
                <w:rFonts w:hint="eastAsia" w:ascii="仿宋_GB2312" w:hAnsi="仿宋_GB2312" w:eastAsia="仿宋_GB2312" w:cs="仿宋_GB2312"/>
                <w:kern w:val="0"/>
                <w:sz w:val="24"/>
                <w:szCs w:val="24"/>
              </w:rPr>
            </w:pPr>
          </w:p>
        </w:tc>
      </w:tr>
      <w:tr w14:paraId="32F93069">
        <w:tblPrEx>
          <w:tblCellMar>
            <w:top w:w="0" w:type="dxa"/>
            <w:left w:w="108" w:type="dxa"/>
            <w:bottom w:w="0" w:type="dxa"/>
            <w:right w:w="108" w:type="dxa"/>
          </w:tblCellMar>
        </w:tblPrEx>
        <w:trPr>
          <w:trHeight w:val="611" w:hRule="atLeast"/>
        </w:trPr>
        <w:tc>
          <w:tcPr>
            <w:tcW w:w="806" w:type="dxa"/>
            <w:tcBorders>
              <w:top w:val="single" w:color="auto" w:sz="4" w:space="0"/>
              <w:left w:val="single" w:color="auto" w:sz="4" w:space="0"/>
              <w:bottom w:val="single" w:color="auto" w:sz="4" w:space="0"/>
              <w:right w:val="single" w:color="auto" w:sz="4" w:space="0"/>
            </w:tcBorders>
            <w:shd w:val="clear" w:color="auto" w:fill="auto"/>
            <w:vAlign w:val="center"/>
          </w:tcPr>
          <w:p w14:paraId="1A3A32F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8</w:t>
            </w:r>
          </w:p>
        </w:tc>
        <w:tc>
          <w:tcPr>
            <w:tcW w:w="1511" w:type="dxa"/>
            <w:tcBorders>
              <w:top w:val="single" w:color="auto" w:sz="4" w:space="0"/>
              <w:left w:val="nil"/>
              <w:bottom w:val="single" w:color="auto" w:sz="4" w:space="0"/>
              <w:right w:val="single" w:color="auto" w:sz="4" w:space="0"/>
            </w:tcBorders>
            <w:shd w:val="clear" w:color="auto" w:fill="auto"/>
            <w:vAlign w:val="center"/>
          </w:tcPr>
          <w:p w14:paraId="45C20818">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工业安全</w:t>
            </w:r>
          </w:p>
        </w:tc>
        <w:tc>
          <w:tcPr>
            <w:tcW w:w="3428" w:type="dxa"/>
            <w:tcBorders>
              <w:top w:val="single" w:color="auto" w:sz="4" w:space="0"/>
              <w:left w:val="nil"/>
              <w:bottom w:val="single" w:color="auto" w:sz="4" w:space="0"/>
              <w:right w:val="single" w:color="auto" w:sz="4" w:space="0"/>
            </w:tcBorders>
            <w:shd w:val="clear" w:color="auto" w:fill="auto"/>
            <w:vAlign w:val="center"/>
          </w:tcPr>
          <w:p w14:paraId="3FBD684F">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专线卫士面向分支机构多、分支网络管理困难、有敏感数据防护需求的分支机构或中小型企业；5G专网安全满足实施5G+工业互联网数智化转型的电力能源和智能制造行业客户；满足工业园区、规上工业企业、工业互联网平台商等行业客户的用户上云安全需求；工业互联网安全满足电力能源、石油石化、智能制造等行业客户的工控系统安全需求。</w:t>
            </w:r>
          </w:p>
        </w:tc>
        <w:tc>
          <w:tcPr>
            <w:tcW w:w="3623" w:type="dxa"/>
            <w:tcBorders>
              <w:top w:val="single" w:color="auto" w:sz="4" w:space="0"/>
              <w:left w:val="nil"/>
              <w:bottom w:val="single" w:color="auto" w:sz="4" w:space="0"/>
              <w:right w:val="single" w:color="auto" w:sz="4" w:space="0"/>
            </w:tcBorders>
            <w:shd w:val="clear" w:color="auto" w:fill="auto"/>
            <w:vAlign w:val="center"/>
          </w:tcPr>
          <w:p w14:paraId="605769ED">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工业安全产品为行业客户提供端-管-云-用的端到端安全产品：融合身份证认证、数据安全存储、数据加密、位置能力的安全物联网卡；一站式网络安全服务的专线卫士；基于5G行业专网的安全增值服务；移动云边界安全、应用安全、安全管理三大类16款安全产品；面向工业信息安全需求的防护类、检测类、审计类、检查工具类、综合管理类工业互联网安全产品。</w:t>
            </w:r>
          </w:p>
        </w:tc>
        <w:tc>
          <w:tcPr>
            <w:tcW w:w="1871" w:type="dxa"/>
            <w:tcBorders>
              <w:top w:val="single" w:color="auto" w:sz="4" w:space="0"/>
              <w:left w:val="nil"/>
              <w:bottom w:val="single" w:color="auto" w:sz="4" w:space="0"/>
              <w:right w:val="single" w:color="auto" w:sz="4" w:space="0"/>
            </w:tcBorders>
            <w:shd w:val="clear" w:color="auto" w:fill="auto"/>
            <w:vAlign w:val="center"/>
          </w:tcPr>
          <w:p w14:paraId="14879107">
            <w:pPr>
              <w:widowControl/>
              <w:spacing w:line="360" w:lineRule="auto"/>
              <w:jc w:val="center"/>
              <w:textAlignment w:val="center"/>
              <w:rPr>
                <w:rFonts w:hint="eastAsia" w:ascii="仿宋_GB2312" w:hAnsi="仿宋_GB2312" w:eastAsia="仿宋_GB2312" w:cs="仿宋_GB2312"/>
                <w:kern w:val="0"/>
                <w:sz w:val="24"/>
                <w:szCs w:val="24"/>
              </w:rPr>
            </w:pPr>
            <w:r>
              <w:rPr>
                <w:rFonts w:hint="eastAsia" w:ascii="宋体" w:hAnsi="宋体" w:eastAsia="宋体" w:cs="宋体"/>
                <w:color w:val="000000"/>
                <w:kern w:val="0"/>
                <w:sz w:val="18"/>
                <w:szCs w:val="18"/>
                <w:lang w:bidi="ar"/>
              </w:rPr>
              <w:t>根据现场情况定价</w:t>
            </w:r>
          </w:p>
        </w:tc>
        <w:tc>
          <w:tcPr>
            <w:tcW w:w="3169" w:type="dxa"/>
            <w:tcBorders>
              <w:top w:val="single" w:color="auto" w:sz="4" w:space="0"/>
              <w:left w:val="nil"/>
              <w:bottom w:val="single" w:color="auto" w:sz="4" w:space="0"/>
              <w:right w:val="single" w:color="auto" w:sz="4" w:space="0"/>
            </w:tcBorders>
            <w:shd w:val="clear" w:color="auto" w:fill="auto"/>
            <w:vAlign w:val="center"/>
          </w:tcPr>
          <w:p w14:paraId="2FD36A8C">
            <w:pPr>
              <w:spacing w:line="360" w:lineRule="auto"/>
              <w:jc w:val="center"/>
              <w:rPr>
                <w:rFonts w:hint="eastAsia" w:ascii="仿宋_GB2312" w:hAnsi="仿宋_GB2312" w:eastAsia="仿宋_GB2312" w:cs="仿宋_GB2312"/>
                <w:kern w:val="0"/>
                <w:sz w:val="24"/>
                <w:szCs w:val="24"/>
              </w:rPr>
            </w:pPr>
          </w:p>
        </w:tc>
      </w:tr>
    </w:tbl>
    <w:p w14:paraId="5A59A4A2"/>
    <w:p w14:paraId="3C0DC314"/>
    <w:p w14:paraId="7701A324"/>
    <w:p w14:paraId="14DC83DB"/>
    <w:sectPr>
      <w:pgSz w:w="16838" w:h="11906" w:orient="landscape"/>
      <w:pgMar w:top="1588" w:right="1202" w:bottom="1078" w:left="120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Helvetica Neue">
    <w:altName w:val="Webdings"/>
    <w:panose1 w:val="00000000000000000000"/>
    <w:charset w:val="00"/>
    <w:family w:val="auto"/>
    <w:pitch w:val="default"/>
    <w:sig w:usb0="00000000" w:usb1="00000000" w:usb2="00000010" w:usb3="00000000" w:csb0="00000000" w:csb1="00000000"/>
  </w:font>
  <w:font w:name="Webdings">
    <w:panose1 w:val="05030102010509060703"/>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D09C03">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8420" cy="139700"/>
              <wp:effectExtent l="0" t="0" r="0" b="3175"/>
              <wp:wrapNone/>
              <wp:docPr id="2" name="文本框 5"/>
              <wp:cNvGraphicFramePr/>
              <a:graphic xmlns:a="http://schemas.openxmlformats.org/drawingml/2006/main">
                <a:graphicData uri="http://schemas.microsoft.com/office/word/2010/wordprocessingShape">
                  <wps:wsp>
                    <wps:cNvSpPr>
                      <a:spLocks noChangeArrowheads="1"/>
                    </wps:cNvSpPr>
                    <wps:spPr bwMode="auto">
                      <a:xfrm>
                        <a:off x="0" y="0"/>
                        <a:ext cx="58420" cy="139700"/>
                      </a:xfrm>
                      <a:prstGeom prst="rect">
                        <a:avLst/>
                      </a:prstGeom>
                      <a:noFill/>
                      <a:ln>
                        <a:noFill/>
                      </a:ln>
                    </wps:spPr>
                    <wps:txbx>
                      <w:txbxContent>
                        <w:p w14:paraId="13B3B558">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wps:txbx>
                    <wps:bodyPr rot="0" vert="horz" wrap="none" lIns="0" tIns="0" rIns="0" bIns="0" anchor="t" anchorCtr="0" upright="1">
                      <a:spAutoFit/>
                    </wps:bodyPr>
                  </wps:wsp>
                </a:graphicData>
              </a:graphic>
            </wp:anchor>
          </w:drawing>
        </mc:Choice>
        <mc:Fallback>
          <w:pict>
            <v:rect id="文本框 5" o:spid="_x0000_s1026" o:spt="1" style="position:absolute;left:0pt;margin-top:0pt;height:11pt;width:4.6pt;mso-position-horizontal:center;mso-position-horizontal-relative:margin;mso-wrap-style:none;z-index:251659264;mso-width-relative:page;mso-height-relative:page;" filled="f" stroked="f" coordsize="21600,21600" o:gfxdata="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CRxltl0AAAAAIBAAAPAAAAAAAAAAEAIAAAACIAAABkcnMvZG93bnJl&#10;di54bWxQSwECFAAUAAAACACHTuJAFO3bKQUCAAD3AwAADgAAAAAAAAABACAAAAAfAQAAZHJzL2Uy&#10;b0RvYy54bWxQSwUGAAAAAAYABgBZAQAAlgUAAAAA&#10;">
              <v:fill on="f" focussize="0,0"/>
              <v:stroke on="f"/>
              <v:imagedata o:title=""/>
              <o:lock v:ext="edit" aspectratio="f"/>
              <v:textbox inset="0mm,0mm,0mm,0mm" style="mso-fit-shape-to-text:t;">
                <w:txbxContent>
                  <w:p w14:paraId="13B3B558">
                    <w:pPr>
                      <w:snapToGrid w:val="0"/>
                      <w:rPr>
                        <w:sz w:val="18"/>
                      </w:rPr>
                    </w:pPr>
                    <w:r>
                      <w:rPr>
                        <w:sz w:val="18"/>
                      </w:rPr>
                      <w:fldChar w:fldCharType="begin"/>
                    </w:r>
                    <w:r>
                      <w:rPr>
                        <w:sz w:val="18"/>
                      </w:rPr>
                      <w:instrText xml:space="preserve"> PAGE  \* MERGEFORMAT </w:instrText>
                    </w:r>
                    <w:r>
                      <w:rPr>
                        <w:sz w:val="18"/>
                      </w:rPr>
                      <w:fldChar w:fldCharType="separate"/>
                    </w:r>
                    <w:r>
                      <w:rPr>
                        <w:sz w:val="18"/>
                      </w:rPr>
                      <w:t>5</w:t>
                    </w:r>
                    <w:r>
                      <w:rPr>
                        <w:sz w:val="18"/>
                      </w:rP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F54968"/>
    <w:multiLevelType w:val="multilevel"/>
    <w:tmpl w:val="8DF54968"/>
    <w:lvl w:ilvl="0" w:tentative="0">
      <w:start w:val="6"/>
      <w:numFmt w:val="chineseCounting"/>
      <w:pStyle w:val="12"/>
      <w:suff w:val="nothing"/>
      <w:lvlText w:val="%1、"/>
      <w:lvlJc w:val="left"/>
      <w:pPr>
        <w:tabs>
          <w:tab w:val="left" w:pos="0"/>
        </w:tabs>
        <w:ind w:left="0" w:firstLine="0"/>
      </w:pPr>
      <w:rPr>
        <w:rFonts w:hint="eastAsia"/>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40"/>
  <w:drawingGridVerticalSpacing w:val="381"/>
  <w:noPunctuationKerning w:val="1"/>
  <w:characterSpacingControl w:val="doNotCompress"/>
  <w:compat>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3MWI4YmM4ODI1OGVjMWQ1N2Y2MDJiZmI4NTYzNmIifQ=="/>
  </w:docVars>
  <w:rsids>
    <w:rsidRoot w:val="00172A27"/>
    <w:rsid w:val="0000165E"/>
    <w:rsid w:val="000021FA"/>
    <w:rsid w:val="00010735"/>
    <w:rsid w:val="0002699B"/>
    <w:rsid w:val="00037AF8"/>
    <w:rsid w:val="00052A18"/>
    <w:rsid w:val="00052D6C"/>
    <w:rsid w:val="00073A45"/>
    <w:rsid w:val="000813C3"/>
    <w:rsid w:val="0008711B"/>
    <w:rsid w:val="000916DF"/>
    <w:rsid w:val="000A7129"/>
    <w:rsid w:val="000B76F9"/>
    <w:rsid w:val="000C0350"/>
    <w:rsid w:val="000D09AD"/>
    <w:rsid w:val="000D4179"/>
    <w:rsid w:val="000D5C4B"/>
    <w:rsid w:val="000F0B30"/>
    <w:rsid w:val="000F258E"/>
    <w:rsid w:val="000F4936"/>
    <w:rsid w:val="00104C2A"/>
    <w:rsid w:val="00113F64"/>
    <w:rsid w:val="00115723"/>
    <w:rsid w:val="001166EB"/>
    <w:rsid w:val="00121E17"/>
    <w:rsid w:val="00122771"/>
    <w:rsid w:val="001258BE"/>
    <w:rsid w:val="0013253E"/>
    <w:rsid w:val="00163F10"/>
    <w:rsid w:val="00164B98"/>
    <w:rsid w:val="00166AA2"/>
    <w:rsid w:val="00172A27"/>
    <w:rsid w:val="00190A83"/>
    <w:rsid w:val="001A432E"/>
    <w:rsid w:val="001A4A4E"/>
    <w:rsid w:val="001C2622"/>
    <w:rsid w:val="001C2C43"/>
    <w:rsid w:val="001C3556"/>
    <w:rsid w:val="001C3765"/>
    <w:rsid w:val="001F5409"/>
    <w:rsid w:val="00223748"/>
    <w:rsid w:val="002300A9"/>
    <w:rsid w:val="002440DD"/>
    <w:rsid w:val="002576A6"/>
    <w:rsid w:val="002717B1"/>
    <w:rsid w:val="00272836"/>
    <w:rsid w:val="00280521"/>
    <w:rsid w:val="0028435F"/>
    <w:rsid w:val="00292D15"/>
    <w:rsid w:val="002A18E8"/>
    <w:rsid w:val="002A39F5"/>
    <w:rsid w:val="002A6546"/>
    <w:rsid w:val="002B697C"/>
    <w:rsid w:val="002C1AD3"/>
    <w:rsid w:val="002C29D5"/>
    <w:rsid w:val="002E63C6"/>
    <w:rsid w:val="002F4E00"/>
    <w:rsid w:val="002F56BA"/>
    <w:rsid w:val="003038CD"/>
    <w:rsid w:val="00337F4B"/>
    <w:rsid w:val="00343A3A"/>
    <w:rsid w:val="00347D34"/>
    <w:rsid w:val="00354BFF"/>
    <w:rsid w:val="003556E1"/>
    <w:rsid w:val="00356311"/>
    <w:rsid w:val="0037320A"/>
    <w:rsid w:val="0037471C"/>
    <w:rsid w:val="003760D2"/>
    <w:rsid w:val="00384BF7"/>
    <w:rsid w:val="003943E4"/>
    <w:rsid w:val="00394F74"/>
    <w:rsid w:val="00397274"/>
    <w:rsid w:val="003A49B9"/>
    <w:rsid w:val="003C2A24"/>
    <w:rsid w:val="003C3E59"/>
    <w:rsid w:val="003C689E"/>
    <w:rsid w:val="003D098D"/>
    <w:rsid w:val="003D2254"/>
    <w:rsid w:val="003D3F2E"/>
    <w:rsid w:val="003E1487"/>
    <w:rsid w:val="003F378F"/>
    <w:rsid w:val="003F6FC7"/>
    <w:rsid w:val="00416DC8"/>
    <w:rsid w:val="0041799D"/>
    <w:rsid w:val="00421623"/>
    <w:rsid w:val="0042429E"/>
    <w:rsid w:val="0042515A"/>
    <w:rsid w:val="00425710"/>
    <w:rsid w:val="00430730"/>
    <w:rsid w:val="00434694"/>
    <w:rsid w:val="00435C2B"/>
    <w:rsid w:val="0043714A"/>
    <w:rsid w:val="004415B5"/>
    <w:rsid w:val="00442E3E"/>
    <w:rsid w:val="00447E6D"/>
    <w:rsid w:val="0045584D"/>
    <w:rsid w:val="00467162"/>
    <w:rsid w:val="0047330A"/>
    <w:rsid w:val="004804BC"/>
    <w:rsid w:val="0048379F"/>
    <w:rsid w:val="004840B2"/>
    <w:rsid w:val="00492DB4"/>
    <w:rsid w:val="004B168E"/>
    <w:rsid w:val="004D0238"/>
    <w:rsid w:val="004F391C"/>
    <w:rsid w:val="004F4DB0"/>
    <w:rsid w:val="004F65BA"/>
    <w:rsid w:val="00514AA8"/>
    <w:rsid w:val="00526EDD"/>
    <w:rsid w:val="00527257"/>
    <w:rsid w:val="005444DF"/>
    <w:rsid w:val="00547B21"/>
    <w:rsid w:val="005545C9"/>
    <w:rsid w:val="00560D34"/>
    <w:rsid w:val="00566076"/>
    <w:rsid w:val="0057650B"/>
    <w:rsid w:val="00581BBD"/>
    <w:rsid w:val="005847EE"/>
    <w:rsid w:val="00593EC5"/>
    <w:rsid w:val="0059673A"/>
    <w:rsid w:val="005B5CE8"/>
    <w:rsid w:val="005C02B3"/>
    <w:rsid w:val="005C6263"/>
    <w:rsid w:val="005D39EF"/>
    <w:rsid w:val="005F1026"/>
    <w:rsid w:val="00600E22"/>
    <w:rsid w:val="00602AA4"/>
    <w:rsid w:val="00602CBA"/>
    <w:rsid w:val="006171B0"/>
    <w:rsid w:val="00624259"/>
    <w:rsid w:val="00625C30"/>
    <w:rsid w:val="006318F2"/>
    <w:rsid w:val="0063303F"/>
    <w:rsid w:val="00650831"/>
    <w:rsid w:val="00654D56"/>
    <w:rsid w:val="0065629C"/>
    <w:rsid w:val="00663471"/>
    <w:rsid w:val="00663CC4"/>
    <w:rsid w:val="006676C0"/>
    <w:rsid w:val="00667C31"/>
    <w:rsid w:val="0068447C"/>
    <w:rsid w:val="00696B25"/>
    <w:rsid w:val="006A1DA0"/>
    <w:rsid w:val="006A2B77"/>
    <w:rsid w:val="006B1BC6"/>
    <w:rsid w:val="006B3EC7"/>
    <w:rsid w:val="006B43F1"/>
    <w:rsid w:val="006D0C8E"/>
    <w:rsid w:val="006D3184"/>
    <w:rsid w:val="006D7404"/>
    <w:rsid w:val="006E2937"/>
    <w:rsid w:val="006E2AE3"/>
    <w:rsid w:val="00704A60"/>
    <w:rsid w:val="00706EA3"/>
    <w:rsid w:val="00714279"/>
    <w:rsid w:val="00716866"/>
    <w:rsid w:val="00726DAA"/>
    <w:rsid w:val="00736D06"/>
    <w:rsid w:val="00740187"/>
    <w:rsid w:val="00740880"/>
    <w:rsid w:val="00740DCE"/>
    <w:rsid w:val="00742196"/>
    <w:rsid w:val="00742957"/>
    <w:rsid w:val="0074513B"/>
    <w:rsid w:val="00752F14"/>
    <w:rsid w:val="00767420"/>
    <w:rsid w:val="007701E8"/>
    <w:rsid w:val="00774967"/>
    <w:rsid w:val="0078245B"/>
    <w:rsid w:val="007848D3"/>
    <w:rsid w:val="00785C9F"/>
    <w:rsid w:val="00787FB9"/>
    <w:rsid w:val="0079225D"/>
    <w:rsid w:val="007A2A7D"/>
    <w:rsid w:val="007A7DA5"/>
    <w:rsid w:val="007B01A9"/>
    <w:rsid w:val="007B1EA2"/>
    <w:rsid w:val="007B378B"/>
    <w:rsid w:val="007C422C"/>
    <w:rsid w:val="007C6171"/>
    <w:rsid w:val="007D408B"/>
    <w:rsid w:val="007F1B9F"/>
    <w:rsid w:val="00805F55"/>
    <w:rsid w:val="00813673"/>
    <w:rsid w:val="008204BB"/>
    <w:rsid w:val="00821B1A"/>
    <w:rsid w:val="00824199"/>
    <w:rsid w:val="00826A0F"/>
    <w:rsid w:val="00842DEF"/>
    <w:rsid w:val="00852B48"/>
    <w:rsid w:val="00854664"/>
    <w:rsid w:val="008649CC"/>
    <w:rsid w:val="008857C4"/>
    <w:rsid w:val="0088674B"/>
    <w:rsid w:val="008975D5"/>
    <w:rsid w:val="008A4104"/>
    <w:rsid w:val="008C0828"/>
    <w:rsid w:val="008C13A3"/>
    <w:rsid w:val="008D2CF6"/>
    <w:rsid w:val="008D46DE"/>
    <w:rsid w:val="008D575E"/>
    <w:rsid w:val="008F13BE"/>
    <w:rsid w:val="008F5679"/>
    <w:rsid w:val="008F6FC6"/>
    <w:rsid w:val="008F79B4"/>
    <w:rsid w:val="009043E0"/>
    <w:rsid w:val="009225E4"/>
    <w:rsid w:val="00933C12"/>
    <w:rsid w:val="00934DE3"/>
    <w:rsid w:val="00936054"/>
    <w:rsid w:val="00941605"/>
    <w:rsid w:val="00941E51"/>
    <w:rsid w:val="009435DE"/>
    <w:rsid w:val="009738AE"/>
    <w:rsid w:val="0097535E"/>
    <w:rsid w:val="00975DE8"/>
    <w:rsid w:val="009807AB"/>
    <w:rsid w:val="009828CE"/>
    <w:rsid w:val="009B067F"/>
    <w:rsid w:val="009B1C0C"/>
    <w:rsid w:val="009B3968"/>
    <w:rsid w:val="009B4E34"/>
    <w:rsid w:val="009C2D48"/>
    <w:rsid w:val="009E26D9"/>
    <w:rsid w:val="009F3A2A"/>
    <w:rsid w:val="009F3D48"/>
    <w:rsid w:val="009F432F"/>
    <w:rsid w:val="009F5603"/>
    <w:rsid w:val="00A02C85"/>
    <w:rsid w:val="00A20F33"/>
    <w:rsid w:val="00A21DD6"/>
    <w:rsid w:val="00A2707A"/>
    <w:rsid w:val="00A546D4"/>
    <w:rsid w:val="00A54A3C"/>
    <w:rsid w:val="00A55F9E"/>
    <w:rsid w:val="00A72DF5"/>
    <w:rsid w:val="00A85A38"/>
    <w:rsid w:val="00A878C8"/>
    <w:rsid w:val="00A91885"/>
    <w:rsid w:val="00A964EF"/>
    <w:rsid w:val="00A97A0A"/>
    <w:rsid w:val="00AA0DC8"/>
    <w:rsid w:val="00AA1FEF"/>
    <w:rsid w:val="00AB5D12"/>
    <w:rsid w:val="00AD0A57"/>
    <w:rsid w:val="00AD0B86"/>
    <w:rsid w:val="00AD60E8"/>
    <w:rsid w:val="00AF1E04"/>
    <w:rsid w:val="00AF2CF2"/>
    <w:rsid w:val="00AF4963"/>
    <w:rsid w:val="00AF5A89"/>
    <w:rsid w:val="00B22643"/>
    <w:rsid w:val="00B26B8C"/>
    <w:rsid w:val="00B531A2"/>
    <w:rsid w:val="00B53CD7"/>
    <w:rsid w:val="00B60772"/>
    <w:rsid w:val="00B60774"/>
    <w:rsid w:val="00B664C0"/>
    <w:rsid w:val="00B717C3"/>
    <w:rsid w:val="00B7622E"/>
    <w:rsid w:val="00B8020A"/>
    <w:rsid w:val="00B82C64"/>
    <w:rsid w:val="00B85E58"/>
    <w:rsid w:val="00B95A06"/>
    <w:rsid w:val="00BA1C38"/>
    <w:rsid w:val="00BA4F2B"/>
    <w:rsid w:val="00BC21D2"/>
    <w:rsid w:val="00BC344F"/>
    <w:rsid w:val="00BC45AE"/>
    <w:rsid w:val="00BD7153"/>
    <w:rsid w:val="00BE06BA"/>
    <w:rsid w:val="00BE1094"/>
    <w:rsid w:val="00BF1A4E"/>
    <w:rsid w:val="00BF463B"/>
    <w:rsid w:val="00BF5D39"/>
    <w:rsid w:val="00C00B26"/>
    <w:rsid w:val="00C0105C"/>
    <w:rsid w:val="00C217BB"/>
    <w:rsid w:val="00C249C3"/>
    <w:rsid w:val="00C32BBF"/>
    <w:rsid w:val="00C36664"/>
    <w:rsid w:val="00C373CE"/>
    <w:rsid w:val="00C438BE"/>
    <w:rsid w:val="00C447A4"/>
    <w:rsid w:val="00C571F1"/>
    <w:rsid w:val="00C656D7"/>
    <w:rsid w:val="00C67598"/>
    <w:rsid w:val="00C763FD"/>
    <w:rsid w:val="00C80119"/>
    <w:rsid w:val="00CA0827"/>
    <w:rsid w:val="00CA268A"/>
    <w:rsid w:val="00CA4F77"/>
    <w:rsid w:val="00CA6ECD"/>
    <w:rsid w:val="00CB079C"/>
    <w:rsid w:val="00CB39A2"/>
    <w:rsid w:val="00CC577B"/>
    <w:rsid w:val="00CD1156"/>
    <w:rsid w:val="00CD52F2"/>
    <w:rsid w:val="00CE62B3"/>
    <w:rsid w:val="00CF12AF"/>
    <w:rsid w:val="00D03DBB"/>
    <w:rsid w:val="00D0592F"/>
    <w:rsid w:val="00D10AC6"/>
    <w:rsid w:val="00D136D4"/>
    <w:rsid w:val="00D2402C"/>
    <w:rsid w:val="00D31B1C"/>
    <w:rsid w:val="00D3474B"/>
    <w:rsid w:val="00D35A08"/>
    <w:rsid w:val="00D37AE1"/>
    <w:rsid w:val="00D41ED9"/>
    <w:rsid w:val="00D5022A"/>
    <w:rsid w:val="00D57981"/>
    <w:rsid w:val="00D57E63"/>
    <w:rsid w:val="00D659DB"/>
    <w:rsid w:val="00D66E55"/>
    <w:rsid w:val="00D95AB2"/>
    <w:rsid w:val="00DB1F1C"/>
    <w:rsid w:val="00DB3C97"/>
    <w:rsid w:val="00DB45A5"/>
    <w:rsid w:val="00DC0A60"/>
    <w:rsid w:val="00DC53BA"/>
    <w:rsid w:val="00DD1D1C"/>
    <w:rsid w:val="00DD5A8A"/>
    <w:rsid w:val="00DD5DF3"/>
    <w:rsid w:val="00DF6BD1"/>
    <w:rsid w:val="00E00258"/>
    <w:rsid w:val="00E0709B"/>
    <w:rsid w:val="00E16E04"/>
    <w:rsid w:val="00E20082"/>
    <w:rsid w:val="00E20805"/>
    <w:rsid w:val="00E274ED"/>
    <w:rsid w:val="00E514F2"/>
    <w:rsid w:val="00E5377A"/>
    <w:rsid w:val="00E601C7"/>
    <w:rsid w:val="00E62A74"/>
    <w:rsid w:val="00E749A8"/>
    <w:rsid w:val="00E94225"/>
    <w:rsid w:val="00E97172"/>
    <w:rsid w:val="00EB0AA0"/>
    <w:rsid w:val="00EB0F54"/>
    <w:rsid w:val="00EB674E"/>
    <w:rsid w:val="00EC4A7D"/>
    <w:rsid w:val="00ED5C37"/>
    <w:rsid w:val="00EE1050"/>
    <w:rsid w:val="00EE1724"/>
    <w:rsid w:val="00EE4D20"/>
    <w:rsid w:val="00EF05FA"/>
    <w:rsid w:val="00F056DA"/>
    <w:rsid w:val="00F20DF5"/>
    <w:rsid w:val="00F2478F"/>
    <w:rsid w:val="00F33493"/>
    <w:rsid w:val="00F52A8D"/>
    <w:rsid w:val="00F53F14"/>
    <w:rsid w:val="00F63130"/>
    <w:rsid w:val="00F6578A"/>
    <w:rsid w:val="00F70F5E"/>
    <w:rsid w:val="00F71EEE"/>
    <w:rsid w:val="00F83F5D"/>
    <w:rsid w:val="00F94AB8"/>
    <w:rsid w:val="00FA25BF"/>
    <w:rsid w:val="00FA4332"/>
    <w:rsid w:val="00FA7617"/>
    <w:rsid w:val="00FB0537"/>
    <w:rsid w:val="00FB5430"/>
    <w:rsid w:val="00FC4A25"/>
    <w:rsid w:val="00FE5212"/>
    <w:rsid w:val="00FF0E2D"/>
    <w:rsid w:val="01BD17FD"/>
    <w:rsid w:val="01C25065"/>
    <w:rsid w:val="01CC1A40"/>
    <w:rsid w:val="01F114A6"/>
    <w:rsid w:val="02393D42"/>
    <w:rsid w:val="02A14C7A"/>
    <w:rsid w:val="02C5CCB7"/>
    <w:rsid w:val="02CB0A0A"/>
    <w:rsid w:val="03AF1619"/>
    <w:rsid w:val="03CE5F43"/>
    <w:rsid w:val="048B7990"/>
    <w:rsid w:val="049A7BD3"/>
    <w:rsid w:val="0501241F"/>
    <w:rsid w:val="054A784B"/>
    <w:rsid w:val="057522D4"/>
    <w:rsid w:val="057A17B3"/>
    <w:rsid w:val="059B5C4C"/>
    <w:rsid w:val="05C50C80"/>
    <w:rsid w:val="05D76C05"/>
    <w:rsid w:val="06986394"/>
    <w:rsid w:val="06EF5225"/>
    <w:rsid w:val="070FF518"/>
    <w:rsid w:val="0774295E"/>
    <w:rsid w:val="087A0211"/>
    <w:rsid w:val="08B871C5"/>
    <w:rsid w:val="09DC163D"/>
    <w:rsid w:val="0A2B64D7"/>
    <w:rsid w:val="0A636732"/>
    <w:rsid w:val="0A85669C"/>
    <w:rsid w:val="0A93759F"/>
    <w:rsid w:val="0AF53DB5"/>
    <w:rsid w:val="0B236729"/>
    <w:rsid w:val="0C373769"/>
    <w:rsid w:val="0CED6B86"/>
    <w:rsid w:val="0D2941EA"/>
    <w:rsid w:val="0D4E1EA3"/>
    <w:rsid w:val="0D8D7834"/>
    <w:rsid w:val="0E8A515C"/>
    <w:rsid w:val="0EFB1BB6"/>
    <w:rsid w:val="0F24110D"/>
    <w:rsid w:val="0FB104C7"/>
    <w:rsid w:val="11B20A9E"/>
    <w:rsid w:val="12DC585B"/>
    <w:rsid w:val="130D3C66"/>
    <w:rsid w:val="14C57BD3"/>
    <w:rsid w:val="14DB226E"/>
    <w:rsid w:val="164D0F49"/>
    <w:rsid w:val="174A2BA6"/>
    <w:rsid w:val="17D03D3C"/>
    <w:rsid w:val="18662412"/>
    <w:rsid w:val="187C78C4"/>
    <w:rsid w:val="192760B3"/>
    <w:rsid w:val="194F0EE0"/>
    <w:rsid w:val="1A976858"/>
    <w:rsid w:val="1AA94BBC"/>
    <w:rsid w:val="1B1F4E7E"/>
    <w:rsid w:val="1B5D3A44"/>
    <w:rsid w:val="1B630EDA"/>
    <w:rsid w:val="1B84582A"/>
    <w:rsid w:val="1BCD6688"/>
    <w:rsid w:val="1D26251C"/>
    <w:rsid w:val="1DAC0C4B"/>
    <w:rsid w:val="1DB3BDD9"/>
    <w:rsid w:val="1ED17600"/>
    <w:rsid w:val="1EEF4B70"/>
    <w:rsid w:val="1F8343DB"/>
    <w:rsid w:val="1FF32ECF"/>
    <w:rsid w:val="207F2647"/>
    <w:rsid w:val="20B85440"/>
    <w:rsid w:val="20B95576"/>
    <w:rsid w:val="20FF72E4"/>
    <w:rsid w:val="212C2C82"/>
    <w:rsid w:val="226F3991"/>
    <w:rsid w:val="227B464E"/>
    <w:rsid w:val="22DE013F"/>
    <w:rsid w:val="231E4B10"/>
    <w:rsid w:val="23226CC1"/>
    <w:rsid w:val="23AE58BE"/>
    <w:rsid w:val="23BD70CF"/>
    <w:rsid w:val="23CB5BA3"/>
    <w:rsid w:val="23D20CE0"/>
    <w:rsid w:val="258F065A"/>
    <w:rsid w:val="26461511"/>
    <w:rsid w:val="265C6F87"/>
    <w:rsid w:val="26DB7EAB"/>
    <w:rsid w:val="27395887"/>
    <w:rsid w:val="27D25752"/>
    <w:rsid w:val="282F4953"/>
    <w:rsid w:val="283830DC"/>
    <w:rsid w:val="28472F88"/>
    <w:rsid w:val="29491A44"/>
    <w:rsid w:val="298C1931"/>
    <w:rsid w:val="29995DFC"/>
    <w:rsid w:val="2A7725E1"/>
    <w:rsid w:val="2A8D3BB3"/>
    <w:rsid w:val="2AD6748B"/>
    <w:rsid w:val="2B603075"/>
    <w:rsid w:val="2BB84C5F"/>
    <w:rsid w:val="2C570682"/>
    <w:rsid w:val="2C6747A9"/>
    <w:rsid w:val="2CB0732E"/>
    <w:rsid w:val="2D095047"/>
    <w:rsid w:val="2DF67CC1"/>
    <w:rsid w:val="2E183793"/>
    <w:rsid w:val="2EF91817"/>
    <w:rsid w:val="2F2919D0"/>
    <w:rsid w:val="2FA01113"/>
    <w:rsid w:val="303B7C0D"/>
    <w:rsid w:val="307278B4"/>
    <w:rsid w:val="309E2DC2"/>
    <w:rsid w:val="312132A7"/>
    <w:rsid w:val="318C4BC4"/>
    <w:rsid w:val="31B61C41"/>
    <w:rsid w:val="32987C10"/>
    <w:rsid w:val="32A81138"/>
    <w:rsid w:val="32E522BD"/>
    <w:rsid w:val="32F56799"/>
    <w:rsid w:val="33013899"/>
    <w:rsid w:val="331971C9"/>
    <w:rsid w:val="3390201E"/>
    <w:rsid w:val="33FE167D"/>
    <w:rsid w:val="34B47F8E"/>
    <w:rsid w:val="35386E11"/>
    <w:rsid w:val="35E602A7"/>
    <w:rsid w:val="36714388"/>
    <w:rsid w:val="36D87F64"/>
    <w:rsid w:val="36F34D9D"/>
    <w:rsid w:val="375A1547"/>
    <w:rsid w:val="37FF5F14"/>
    <w:rsid w:val="381E4C82"/>
    <w:rsid w:val="387C3B96"/>
    <w:rsid w:val="388859B9"/>
    <w:rsid w:val="3933358B"/>
    <w:rsid w:val="39D23390"/>
    <w:rsid w:val="3A145757"/>
    <w:rsid w:val="3A173499"/>
    <w:rsid w:val="3A30455A"/>
    <w:rsid w:val="3A8A5A19"/>
    <w:rsid w:val="3A8D72B7"/>
    <w:rsid w:val="3A9EFFCE"/>
    <w:rsid w:val="3B00217F"/>
    <w:rsid w:val="3BCD02B3"/>
    <w:rsid w:val="3BD6517D"/>
    <w:rsid w:val="3C431B90"/>
    <w:rsid w:val="3D1C55C2"/>
    <w:rsid w:val="3D207130"/>
    <w:rsid w:val="3D4A76E1"/>
    <w:rsid w:val="3D8A3F82"/>
    <w:rsid w:val="3E057A17"/>
    <w:rsid w:val="3E5A7DF8"/>
    <w:rsid w:val="41FE0D2A"/>
    <w:rsid w:val="42360234"/>
    <w:rsid w:val="4248149B"/>
    <w:rsid w:val="42935686"/>
    <w:rsid w:val="43397FDC"/>
    <w:rsid w:val="434F2582"/>
    <w:rsid w:val="437C611B"/>
    <w:rsid w:val="43E837B0"/>
    <w:rsid w:val="43F955DA"/>
    <w:rsid w:val="442944F4"/>
    <w:rsid w:val="443469F5"/>
    <w:rsid w:val="44606CD8"/>
    <w:rsid w:val="44D56131"/>
    <w:rsid w:val="44E346A3"/>
    <w:rsid w:val="46653894"/>
    <w:rsid w:val="46C74EE9"/>
    <w:rsid w:val="47242D51"/>
    <w:rsid w:val="473E165D"/>
    <w:rsid w:val="48217291"/>
    <w:rsid w:val="485951B1"/>
    <w:rsid w:val="48623B31"/>
    <w:rsid w:val="487D1F30"/>
    <w:rsid w:val="48E82276"/>
    <w:rsid w:val="4973551B"/>
    <w:rsid w:val="4A064990"/>
    <w:rsid w:val="4A144D30"/>
    <w:rsid w:val="4A3F571D"/>
    <w:rsid w:val="4A4C2CEB"/>
    <w:rsid w:val="4A7A67C4"/>
    <w:rsid w:val="4B3043BA"/>
    <w:rsid w:val="4C26230B"/>
    <w:rsid w:val="4D2C6548"/>
    <w:rsid w:val="4D4E6532"/>
    <w:rsid w:val="4D4F06AA"/>
    <w:rsid w:val="4D987FF5"/>
    <w:rsid w:val="4E416104"/>
    <w:rsid w:val="4E43218A"/>
    <w:rsid w:val="4EA87052"/>
    <w:rsid w:val="4F2F6737"/>
    <w:rsid w:val="4F7C7BCE"/>
    <w:rsid w:val="4F980780"/>
    <w:rsid w:val="50684182"/>
    <w:rsid w:val="507E34D2"/>
    <w:rsid w:val="50D51022"/>
    <w:rsid w:val="517FE114"/>
    <w:rsid w:val="518A5EA7"/>
    <w:rsid w:val="51D35976"/>
    <w:rsid w:val="51E02228"/>
    <w:rsid w:val="524530D8"/>
    <w:rsid w:val="52522E68"/>
    <w:rsid w:val="52A042A5"/>
    <w:rsid w:val="533633E9"/>
    <w:rsid w:val="55B41744"/>
    <w:rsid w:val="55D10548"/>
    <w:rsid w:val="565847C5"/>
    <w:rsid w:val="56827F30"/>
    <w:rsid w:val="569D6333"/>
    <w:rsid w:val="56EFD299"/>
    <w:rsid w:val="56F3FCF0"/>
    <w:rsid w:val="57566F57"/>
    <w:rsid w:val="575B71CA"/>
    <w:rsid w:val="576158FB"/>
    <w:rsid w:val="57F16FC2"/>
    <w:rsid w:val="57FF139C"/>
    <w:rsid w:val="58443253"/>
    <w:rsid w:val="587A4EC7"/>
    <w:rsid w:val="58995EAE"/>
    <w:rsid w:val="58AD0DF8"/>
    <w:rsid w:val="590D7AE9"/>
    <w:rsid w:val="5A1A070F"/>
    <w:rsid w:val="5A305377"/>
    <w:rsid w:val="5BFB1E7B"/>
    <w:rsid w:val="5BFFB320"/>
    <w:rsid w:val="5C7458E1"/>
    <w:rsid w:val="5CF214D0"/>
    <w:rsid w:val="5E0019CA"/>
    <w:rsid w:val="5E9677C5"/>
    <w:rsid w:val="5EAB402C"/>
    <w:rsid w:val="5EB545FA"/>
    <w:rsid w:val="5F6D4AD6"/>
    <w:rsid w:val="60E23609"/>
    <w:rsid w:val="61D5316E"/>
    <w:rsid w:val="62D6033B"/>
    <w:rsid w:val="62D91739"/>
    <w:rsid w:val="62E0081A"/>
    <w:rsid w:val="62F35FA1"/>
    <w:rsid w:val="636C18B0"/>
    <w:rsid w:val="63C96D02"/>
    <w:rsid w:val="63F50BFD"/>
    <w:rsid w:val="641C5084"/>
    <w:rsid w:val="64940BF9"/>
    <w:rsid w:val="64FD4BAB"/>
    <w:rsid w:val="652A18F2"/>
    <w:rsid w:val="6588162A"/>
    <w:rsid w:val="669730E8"/>
    <w:rsid w:val="669A46E2"/>
    <w:rsid w:val="67145666"/>
    <w:rsid w:val="671A3E6D"/>
    <w:rsid w:val="67460A40"/>
    <w:rsid w:val="67A31DBB"/>
    <w:rsid w:val="67DD55E5"/>
    <w:rsid w:val="68057DE8"/>
    <w:rsid w:val="6846773F"/>
    <w:rsid w:val="685E7F14"/>
    <w:rsid w:val="68B35298"/>
    <w:rsid w:val="68BB23A7"/>
    <w:rsid w:val="69472BA3"/>
    <w:rsid w:val="69B53FB1"/>
    <w:rsid w:val="6A3F35DF"/>
    <w:rsid w:val="6A7259FE"/>
    <w:rsid w:val="6AA510E0"/>
    <w:rsid w:val="6B106FC5"/>
    <w:rsid w:val="6B144D07"/>
    <w:rsid w:val="6EC54893"/>
    <w:rsid w:val="6EF95004"/>
    <w:rsid w:val="6FD40F09"/>
    <w:rsid w:val="70D2369A"/>
    <w:rsid w:val="70DC3DF3"/>
    <w:rsid w:val="70E92792"/>
    <w:rsid w:val="717A57AC"/>
    <w:rsid w:val="71E73175"/>
    <w:rsid w:val="71E82A49"/>
    <w:rsid w:val="724B501F"/>
    <w:rsid w:val="72872F89"/>
    <w:rsid w:val="72897D89"/>
    <w:rsid w:val="73373C88"/>
    <w:rsid w:val="73BD5D86"/>
    <w:rsid w:val="74122000"/>
    <w:rsid w:val="75096F5F"/>
    <w:rsid w:val="756845CD"/>
    <w:rsid w:val="75720FA8"/>
    <w:rsid w:val="769211D6"/>
    <w:rsid w:val="76C463FC"/>
    <w:rsid w:val="76D87530"/>
    <w:rsid w:val="773724A9"/>
    <w:rsid w:val="775546DD"/>
    <w:rsid w:val="777849C9"/>
    <w:rsid w:val="77CF7617"/>
    <w:rsid w:val="78764C12"/>
    <w:rsid w:val="797662BF"/>
    <w:rsid w:val="79B4611B"/>
    <w:rsid w:val="79FD2E0A"/>
    <w:rsid w:val="7A8157E9"/>
    <w:rsid w:val="7B364826"/>
    <w:rsid w:val="7BC57958"/>
    <w:rsid w:val="7C217926"/>
    <w:rsid w:val="7C673157"/>
    <w:rsid w:val="7C8B6DF3"/>
    <w:rsid w:val="7CBFAA9E"/>
    <w:rsid w:val="7D0733F4"/>
    <w:rsid w:val="7D7BAA82"/>
    <w:rsid w:val="7DB52E23"/>
    <w:rsid w:val="7DEC566F"/>
    <w:rsid w:val="7E9B156F"/>
    <w:rsid w:val="7E9EF690"/>
    <w:rsid w:val="7EBF2EFE"/>
    <w:rsid w:val="7EEC1DCB"/>
    <w:rsid w:val="7EF25C3A"/>
    <w:rsid w:val="7F2A72D7"/>
    <w:rsid w:val="98BF0DAA"/>
    <w:rsid w:val="B75BD2BA"/>
    <w:rsid w:val="BFFF209E"/>
    <w:rsid w:val="DAB946A6"/>
    <w:rsid w:val="DAF92137"/>
    <w:rsid w:val="DFFF9078"/>
    <w:rsid w:val="E7FFE01C"/>
    <w:rsid w:val="EDD594B8"/>
    <w:rsid w:val="F7EC6EF2"/>
    <w:rsid w:val="FAFAC61A"/>
    <w:rsid w:val="FB9F7D63"/>
    <w:rsid w:val="FBA7F81F"/>
    <w:rsid w:val="FBFDD59C"/>
    <w:rsid w:val="FEDDA8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99" w:semiHidden="0" w:name="annotation text"/>
    <w:lsdException w:qFormat="1" w:uiPriority="99" w:semiHidden="0" w:name="header"/>
    <w:lsdException w:qFormat="1" w:uiPriority="99"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uiPriority="0" w:name="footnote reference"/>
    <w:lsdException w:qFormat="1"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qFormat="1"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 w:cs="Calibri"/>
      <w:kern w:val="2"/>
      <w:sz w:val="28"/>
      <w:szCs w:val="21"/>
      <w:lang w:val="en-US" w:eastAsia="zh-CN" w:bidi="ar-SA"/>
    </w:rPr>
  </w:style>
  <w:style w:type="paragraph" w:styleId="2">
    <w:name w:val="heading 1"/>
    <w:basedOn w:val="1"/>
    <w:next w:val="1"/>
    <w:link w:val="30"/>
    <w:qFormat/>
    <w:uiPriority w:val="0"/>
    <w:pPr>
      <w:keepNext/>
      <w:keepLines/>
      <w:spacing w:before="120" w:line="360" w:lineRule="auto"/>
      <w:outlineLvl w:val="0"/>
    </w:pPr>
    <w:rPr>
      <w:rFonts w:ascii="Times New Roman" w:hAnsi="Times New Roman" w:eastAsia="黑体" w:cs="Times New Roman"/>
      <w:kern w:val="44"/>
      <w:sz w:val="20"/>
      <w:szCs w:val="20"/>
    </w:rPr>
  </w:style>
  <w:style w:type="paragraph" w:styleId="3">
    <w:name w:val="heading 2"/>
    <w:basedOn w:val="1"/>
    <w:next w:val="1"/>
    <w:link w:val="31"/>
    <w:qFormat/>
    <w:uiPriority w:val="9"/>
    <w:pPr>
      <w:keepNext/>
      <w:keepLines/>
      <w:adjustRightInd w:val="0"/>
      <w:outlineLvl w:val="1"/>
    </w:pPr>
    <w:rPr>
      <w:rFonts w:ascii="楷体" w:hAnsi="楷体" w:eastAsia="楷体" w:cs="Times New Roman"/>
      <w:szCs w:val="28"/>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Normal Indent"/>
    <w:basedOn w:val="1"/>
    <w:link w:val="37"/>
    <w:qFormat/>
    <w:uiPriority w:val="0"/>
    <w:pPr>
      <w:ind w:firstLine="420" w:firstLineChars="200"/>
    </w:pPr>
    <w:rPr>
      <w:rFonts w:ascii="Times New Roman" w:hAnsi="Times New Roman" w:eastAsia="宋体" w:cs="黑体"/>
      <w:sz w:val="21"/>
      <w:szCs w:val="24"/>
    </w:rPr>
  </w:style>
  <w:style w:type="paragraph" w:styleId="5">
    <w:name w:val="caption"/>
    <w:basedOn w:val="1"/>
    <w:next w:val="1"/>
    <w:qFormat/>
    <w:uiPriority w:val="35"/>
    <w:rPr>
      <w:rFonts w:ascii="等线 Light" w:hAnsi="等线 Light" w:eastAsia="黑体" w:cs="Times New Roman"/>
      <w:sz w:val="20"/>
      <w:szCs w:val="20"/>
    </w:rPr>
  </w:style>
  <w:style w:type="paragraph" w:styleId="6">
    <w:name w:val="annotation text"/>
    <w:basedOn w:val="1"/>
    <w:link w:val="32"/>
    <w:unhideWhenUsed/>
    <w:qFormat/>
    <w:uiPriority w:val="99"/>
    <w:pPr>
      <w:jc w:val="left"/>
    </w:pPr>
  </w:style>
  <w:style w:type="paragraph" w:styleId="7">
    <w:name w:val="Body Text"/>
    <w:basedOn w:val="1"/>
    <w:link w:val="33"/>
    <w:unhideWhenUsed/>
    <w:qFormat/>
    <w:uiPriority w:val="99"/>
    <w:rPr>
      <w:rFonts w:eastAsia="宋体"/>
      <w:sz w:val="30"/>
      <w:szCs w:val="30"/>
    </w:rPr>
  </w:style>
  <w:style w:type="paragraph" w:styleId="8">
    <w:name w:val="Balloon Text"/>
    <w:basedOn w:val="1"/>
    <w:link w:val="35"/>
    <w:unhideWhenUsed/>
    <w:qFormat/>
    <w:uiPriority w:val="99"/>
    <w:rPr>
      <w:sz w:val="18"/>
      <w:szCs w:val="18"/>
    </w:rPr>
  </w:style>
  <w:style w:type="paragraph" w:styleId="9">
    <w:name w:val="footer"/>
    <w:basedOn w:val="1"/>
    <w:link w:val="29"/>
    <w:unhideWhenUsed/>
    <w:qFormat/>
    <w:uiPriority w:val="99"/>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ind w:firstLine="200" w:firstLineChars="200"/>
      <w:contextualSpacing/>
      <w:jc w:val="left"/>
    </w:pPr>
    <w:rPr>
      <w:rFonts w:ascii="宋体" w:hAnsi="宋体" w:eastAsia="宋体" w:cs="宋体"/>
      <w:kern w:val="0"/>
      <w:sz w:val="24"/>
      <w:szCs w:val="24"/>
    </w:rPr>
  </w:style>
  <w:style w:type="paragraph" w:styleId="12">
    <w:name w:val="Title"/>
    <w:basedOn w:val="1"/>
    <w:next w:val="1"/>
    <w:qFormat/>
    <w:uiPriority w:val="10"/>
    <w:pPr>
      <w:numPr>
        <w:ilvl w:val="0"/>
        <w:numId w:val="1"/>
      </w:numPr>
      <w:spacing w:before="240" w:after="60"/>
      <w:ind w:firstLine="400" w:firstLineChars="200"/>
      <w:jc w:val="left"/>
      <w:outlineLvl w:val="0"/>
    </w:pPr>
    <w:rPr>
      <w:rFonts w:ascii="Arial" w:hAnsi="Arial" w:eastAsia="宋体"/>
      <w:b/>
      <w:sz w:val="32"/>
    </w:rPr>
  </w:style>
  <w:style w:type="paragraph" w:styleId="13">
    <w:name w:val="annotation subject"/>
    <w:basedOn w:val="6"/>
    <w:next w:val="6"/>
    <w:link w:val="34"/>
    <w:unhideWhenUsed/>
    <w:qFormat/>
    <w:uiPriority w:val="99"/>
    <w:rPr>
      <w:b/>
      <w:bCs/>
    </w:rPr>
  </w:style>
  <w:style w:type="table" w:styleId="15">
    <w:name w:val="Table Grid"/>
    <w:basedOn w:val="1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0"/>
    <w:rPr>
      <w:b/>
    </w:rPr>
  </w:style>
  <w:style w:type="character" w:styleId="18">
    <w:name w:val="Emphasis"/>
    <w:basedOn w:val="16"/>
    <w:qFormat/>
    <w:uiPriority w:val="20"/>
    <w:rPr>
      <w:i/>
    </w:rPr>
  </w:style>
  <w:style w:type="character" w:styleId="19">
    <w:name w:val="annotation reference"/>
    <w:unhideWhenUsed/>
    <w:qFormat/>
    <w:uiPriority w:val="99"/>
    <w:rPr>
      <w:sz w:val="21"/>
      <w:szCs w:val="21"/>
    </w:rPr>
  </w:style>
  <w:style w:type="paragraph" w:customStyle="1" w:styleId="20">
    <w:name w:val="无间隔1"/>
    <w:basedOn w:val="1"/>
    <w:link w:val="36"/>
    <w:qFormat/>
    <w:uiPriority w:val="0"/>
    <w:pPr>
      <w:ind w:firstLine="200" w:firstLineChars="200"/>
      <w:contextualSpacing/>
      <w:jc w:val="center"/>
    </w:pPr>
    <w:rPr>
      <w:rFonts w:ascii="Verdana" w:hAnsi="Verdana" w:eastAsia="Tahoma" w:cs="黑体"/>
      <w:sz w:val="21"/>
      <w:szCs w:val="22"/>
    </w:rPr>
  </w:style>
  <w:style w:type="paragraph" w:customStyle="1" w:styleId="21">
    <w:name w:val="列出段落1"/>
    <w:basedOn w:val="1"/>
    <w:qFormat/>
    <w:uiPriority w:val="34"/>
    <w:pPr>
      <w:ind w:firstLine="420" w:firstLineChars="200"/>
    </w:pPr>
    <w:rPr>
      <w:rFonts w:ascii="等线" w:hAnsi="等线" w:cs="Times New Roman"/>
      <w:sz w:val="32"/>
      <w:szCs w:val="22"/>
    </w:rPr>
  </w:style>
  <w:style w:type="paragraph" w:customStyle="1" w:styleId="22">
    <w:name w:val="p1"/>
    <w:basedOn w:val="1"/>
    <w:qFormat/>
    <w:uiPriority w:val="0"/>
    <w:pPr>
      <w:spacing w:line="380" w:lineRule="atLeast"/>
      <w:jc w:val="left"/>
    </w:pPr>
    <w:rPr>
      <w:rFonts w:ascii="Helvetica Neue" w:hAnsi="Helvetica Neue" w:eastAsia="Helvetica Neue" w:cs="Times New Roman"/>
      <w:color w:val="000000"/>
      <w:kern w:val="0"/>
      <w:sz w:val="26"/>
      <w:szCs w:val="26"/>
    </w:rPr>
  </w:style>
  <w:style w:type="paragraph" w:customStyle="1" w:styleId="23">
    <w:name w:val="正文新"/>
    <w:link w:val="38"/>
    <w:qFormat/>
    <w:uiPriority w:val="0"/>
    <w:pPr>
      <w:autoSpaceDE w:val="0"/>
      <w:autoSpaceDN w:val="0"/>
      <w:spacing w:after="200" w:line="276" w:lineRule="auto"/>
      <w:ind w:firstLine="200" w:firstLineChars="200"/>
      <w:jc w:val="both"/>
    </w:pPr>
    <w:rPr>
      <w:rFonts w:ascii="宋体" w:hAnsi="宋体" w:eastAsia="等线" w:cs="黑体"/>
      <w:kern w:val="2"/>
      <w:sz w:val="21"/>
      <w:szCs w:val="22"/>
      <w:lang w:val="en-US" w:eastAsia="zh-CN" w:bidi="ar-SA"/>
    </w:rPr>
  </w:style>
  <w:style w:type="paragraph" w:customStyle="1" w:styleId="24">
    <w:name w:val="段（正文）"/>
    <w:qFormat/>
    <w:uiPriority w:val="0"/>
    <w:pPr>
      <w:autoSpaceDE w:val="0"/>
      <w:autoSpaceDN w:val="0"/>
      <w:ind w:firstLine="200" w:firstLineChars="200"/>
      <w:jc w:val="both"/>
    </w:pPr>
    <w:rPr>
      <w:rFonts w:ascii="宋体" w:hAnsi="Times New Roman" w:eastAsia="仿宋" w:cs="Times New Roman"/>
      <w:sz w:val="32"/>
      <w:lang w:val="en-US" w:eastAsia="zh-CN" w:bidi="ar-SA"/>
    </w:rPr>
  </w:style>
  <w:style w:type="paragraph" w:customStyle="1" w:styleId="25">
    <w:name w:val="text"/>
    <w:basedOn w:val="1"/>
    <w:qFormat/>
    <w:uiPriority w:val="0"/>
    <w:pPr>
      <w:spacing w:line="360" w:lineRule="auto"/>
      <w:ind w:firstLine="420"/>
    </w:pPr>
    <w:rPr>
      <w:rFonts w:ascii="Times New Roman" w:hAnsi="Times New Roman" w:cs="Times New Roman"/>
      <w:sz w:val="24"/>
      <w:szCs w:val="20"/>
    </w:rPr>
  </w:style>
  <w:style w:type="paragraph" w:customStyle="1" w:styleId="26">
    <w:name w:val="正文1"/>
    <w:qFormat/>
    <w:uiPriority w:val="0"/>
    <w:pPr>
      <w:jc w:val="both"/>
    </w:pPr>
    <w:rPr>
      <w:rFonts w:ascii="Calibri" w:hAnsi="Calibri" w:eastAsia="宋体" w:cs="宋体"/>
      <w:kern w:val="2"/>
      <w:sz w:val="21"/>
      <w:szCs w:val="21"/>
      <w:lang w:val="en-US" w:eastAsia="zh-CN" w:bidi="ar-SA"/>
    </w:rPr>
  </w:style>
  <w:style w:type="paragraph" w:customStyle="1" w:styleId="27">
    <w:name w:val="1 Char"/>
    <w:basedOn w:val="1"/>
    <w:qFormat/>
    <w:uiPriority w:val="0"/>
    <w:rPr>
      <w:rFonts w:ascii="Times New Roman" w:hAnsi="Times New Roman" w:eastAsia="宋体" w:cs="Times New Roman"/>
      <w:sz w:val="21"/>
      <w:szCs w:val="20"/>
    </w:rPr>
  </w:style>
  <w:style w:type="character" w:customStyle="1" w:styleId="28">
    <w:name w:val="页眉 字符"/>
    <w:basedOn w:val="16"/>
    <w:link w:val="10"/>
    <w:qFormat/>
    <w:uiPriority w:val="99"/>
    <w:rPr>
      <w:sz w:val="18"/>
      <w:szCs w:val="18"/>
    </w:rPr>
  </w:style>
  <w:style w:type="character" w:customStyle="1" w:styleId="29">
    <w:name w:val="页脚 字符"/>
    <w:basedOn w:val="16"/>
    <w:link w:val="9"/>
    <w:qFormat/>
    <w:uiPriority w:val="99"/>
    <w:rPr>
      <w:sz w:val="18"/>
      <w:szCs w:val="18"/>
    </w:rPr>
  </w:style>
  <w:style w:type="character" w:customStyle="1" w:styleId="30">
    <w:name w:val="标题 1 字符"/>
    <w:basedOn w:val="16"/>
    <w:link w:val="2"/>
    <w:qFormat/>
    <w:uiPriority w:val="0"/>
    <w:rPr>
      <w:rFonts w:ascii="Times New Roman" w:hAnsi="Times New Roman" w:eastAsia="黑体" w:cs="Times New Roman"/>
      <w:kern w:val="44"/>
      <w:sz w:val="20"/>
      <w:szCs w:val="20"/>
    </w:rPr>
  </w:style>
  <w:style w:type="character" w:customStyle="1" w:styleId="31">
    <w:name w:val="标题 2 字符"/>
    <w:basedOn w:val="16"/>
    <w:link w:val="3"/>
    <w:qFormat/>
    <w:uiPriority w:val="9"/>
    <w:rPr>
      <w:rFonts w:ascii="楷体" w:hAnsi="楷体" w:eastAsia="楷体" w:cs="Times New Roman"/>
      <w:sz w:val="28"/>
      <w:szCs w:val="28"/>
    </w:rPr>
  </w:style>
  <w:style w:type="character" w:customStyle="1" w:styleId="32">
    <w:name w:val="批注文字 字符"/>
    <w:link w:val="6"/>
    <w:qFormat/>
    <w:uiPriority w:val="99"/>
    <w:rPr>
      <w:rFonts w:ascii="Calibri" w:hAnsi="Calibri" w:eastAsia="仿宋" w:cs="Calibri"/>
      <w:sz w:val="28"/>
      <w:szCs w:val="21"/>
    </w:rPr>
  </w:style>
  <w:style w:type="character" w:customStyle="1" w:styleId="33">
    <w:name w:val="正文文本 字符"/>
    <w:link w:val="7"/>
    <w:qFormat/>
    <w:uiPriority w:val="99"/>
    <w:rPr>
      <w:rFonts w:ascii="Calibri" w:hAnsi="Calibri" w:eastAsia="宋体" w:cs="Calibri"/>
      <w:sz w:val="30"/>
      <w:szCs w:val="30"/>
    </w:rPr>
  </w:style>
  <w:style w:type="character" w:customStyle="1" w:styleId="34">
    <w:name w:val="批注主题 字符"/>
    <w:link w:val="13"/>
    <w:qFormat/>
    <w:uiPriority w:val="99"/>
    <w:rPr>
      <w:rFonts w:ascii="Calibri" w:hAnsi="Calibri" w:eastAsia="仿宋" w:cs="Calibri"/>
      <w:b/>
      <w:bCs/>
      <w:sz w:val="28"/>
      <w:szCs w:val="21"/>
    </w:rPr>
  </w:style>
  <w:style w:type="character" w:customStyle="1" w:styleId="35">
    <w:name w:val="批注框文本 字符"/>
    <w:link w:val="8"/>
    <w:qFormat/>
    <w:uiPriority w:val="99"/>
    <w:rPr>
      <w:rFonts w:ascii="Calibri" w:hAnsi="Calibri" w:eastAsia="仿宋" w:cs="Calibri"/>
      <w:sz w:val="18"/>
      <w:szCs w:val="18"/>
    </w:rPr>
  </w:style>
  <w:style w:type="character" w:customStyle="1" w:styleId="36">
    <w:name w:val="无间隔 Char"/>
    <w:link w:val="20"/>
    <w:qFormat/>
    <w:uiPriority w:val="0"/>
    <w:rPr>
      <w:rFonts w:ascii="Verdana" w:hAnsi="Verdana" w:eastAsia="Tahoma"/>
    </w:rPr>
  </w:style>
  <w:style w:type="character" w:customStyle="1" w:styleId="37">
    <w:name w:val="正文缩进 字符"/>
    <w:link w:val="4"/>
    <w:qFormat/>
    <w:uiPriority w:val="0"/>
    <w:rPr>
      <w:rFonts w:ascii="Times New Roman" w:hAnsi="Times New Roman" w:eastAsia="宋体"/>
      <w:szCs w:val="24"/>
    </w:rPr>
  </w:style>
  <w:style w:type="character" w:customStyle="1" w:styleId="38">
    <w:name w:val="正文新 Char"/>
    <w:link w:val="23"/>
    <w:qFormat/>
    <w:locked/>
    <w:uiPriority w:val="0"/>
    <w:rPr>
      <w:rFonts w:ascii="宋体" w:hAnsi="宋体" w:eastAsia="等线"/>
    </w:rPr>
  </w:style>
  <w:style w:type="character" w:customStyle="1" w:styleId="39">
    <w:name w:val="批注框文本 字符1"/>
    <w:basedOn w:val="16"/>
    <w:semiHidden/>
    <w:qFormat/>
    <w:uiPriority w:val="99"/>
    <w:rPr>
      <w:rFonts w:ascii="Calibri" w:hAnsi="Calibri" w:eastAsia="仿宋" w:cs="Calibri"/>
      <w:sz w:val="18"/>
      <w:szCs w:val="18"/>
    </w:rPr>
  </w:style>
  <w:style w:type="character" w:customStyle="1" w:styleId="40">
    <w:name w:val="正文文本 字符1"/>
    <w:basedOn w:val="16"/>
    <w:semiHidden/>
    <w:qFormat/>
    <w:uiPriority w:val="99"/>
    <w:rPr>
      <w:rFonts w:ascii="Calibri" w:hAnsi="Calibri" w:eastAsia="仿宋" w:cs="Calibri"/>
      <w:sz w:val="28"/>
      <w:szCs w:val="21"/>
    </w:rPr>
  </w:style>
  <w:style w:type="character" w:customStyle="1" w:styleId="41">
    <w:name w:val="批注文字 字符1"/>
    <w:basedOn w:val="16"/>
    <w:semiHidden/>
    <w:qFormat/>
    <w:uiPriority w:val="99"/>
    <w:rPr>
      <w:rFonts w:ascii="Calibri" w:hAnsi="Calibri" w:eastAsia="仿宋" w:cs="Calibri"/>
      <w:sz w:val="28"/>
      <w:szCs w:val="21"/>
    </w:rPr>
  </w:style>
  <w:style w:type="character" w:customStyle="1" w:styleId="42">
    <w:name w:val="批注主题 字符1"/>
    <w:basedOn w:val="41"/>
    <w:semiHidden/>
    <w:qFormat/>
    <w:uiPriority w:val="99"/>
    <w:rPr>
      <w:rFonts w:ascii="Calibri" w:hAnsi="Calibri" w:eastAsia="仿宋" w:cs="Calibri"/>
      <w:b/>
      <w:bCs/>
      <w:sz w:val="28"/>
      <w:szCs w:val="21"/>
    </w:rPr>
  </w:style>
  <w:style w:type="paragraph" w:styleId="43">
    <w:name w:val="List Paragraph"/>
    <w:basedOn w:val="1"/>
    <w:qFormat/>
    <w:uiPriority w:val="99"/>
    <w:pPr>
      <w:ind w:firstLine="420" w:firstLineChars="200"/>
    </w:pPr>
  </w:style>
  <w:style w:type="character" w:customStyle="1" w:styleId="44">
    <w:name w:val="font21"/>
    <w:basedOn w:val="16"/>
    <w:qFormat/>
    <w:uiPriority w:val="0"/>
    <w:rPr>
      <w:rFonts w:hint="eastAsia" w:ascii="仿宋" w:hAnsi="仿宋" w:eastAsia="仿宋" w:cs="仿宋"/>
      <w:color w:val="000000"/>
      <w:sz w:val="20"/>
      <w:szCs w:val="20"/>
      <w:u w:val="none"/>
    </w:rPr>
  </w:style>
  <w:style w:type="paragraph" w:customStyle="1" w:styleId="45">
    <w:name w:val="修订1"/>
    <w:hidden/>
    <w:semiHidden/>
    <w:qFormat/>
    <w:uiPriority w:val="99"/>
    <w:rPr>
      <w:rFonts w:ascii="Calibri" w:hAnsi="Calibri" w:eastAsia="仿宋" w:cs="Calibri"/>
      <w:kern w:val="2"/>
      <w:sz w:val="28"/>
      <w:szCs w:val="21"/>
      <w:lang w:val="en-US" w:eastAsia="zh-CN" w:bidi="ar-SA"/>
    </w:rPr>
  </w:style>
  <w:style w:type="character" w:customStyle="1" w:styleId="46">
    <w:name w:val="font51"/>
    <w:basedOn w:val="16"/>
    <w:qFormat/>
    <w:uiPriority w:val="0"/>
    <w:rPr>
      <w:rFonts w:hint="eastAsia" w:ascii="仿宋_GB2312" w:eastAsia="仿宋_GB2312" w:cs="仿宋_GB2312"/>
      <w:color w:val="333333"/>
      <w:sz w:val="24"/>
      <w:szCs w:val="24"/>
      <w:u w:val="none"/>
    </w:rPr>
  </w:style>
  <w:style w:type="character" w:customStyle="1" w:styleId="47">
    <w:name w:val="font61"/>
    <w:basedOn w:val="16"/>
    <w:qFormat/>
    <w:uiPriority w:val="0"/>
    <w:rPr>
      <w:rFonts w:ascii="Wingdings 2" w:hAnsi="Wingdings 2" w:eastAsia="Wingdings 2" w:cs="Wingdings 2"/>
      <w:color w:val="000000"/>
      <w:sz w:val="24"/>
      <w:szCs w:val="24"/>
      <w:u w:val="none"/>
    </w:rPr>
  </w:style>
  <w:style w:type="character" w:customStyle="1" w:styleId="48">
    <w:name w:val="font31"/>
    <w:basedOn w:val="16"/>
    <w:qFormat/>
    <w:uiPriority w:val="0"/>
    <w:rPr>
      <w:rFonts w:hint="eastAsia" w:ascii="宋体" w:hAnsi="宋体" w:eastAsia="宋体" w:cs="宋体"/>
      <w:color w:val="000000"/>
      <w:sz w:val="20"/>
      <w:szCs w:val="20"/>
      <w:u w:val="none"/>
    </w:rPr>
  </w:style>
  <w:style w:type="character" w:customStyle="1" w:styleId="49">
    <w:name w:val="font41"/>
    <w:basedOn w:val="16"/>
    <w:qFormat/>
    <w:uiPriority w:val="0"/>
    <w:rPr>
      <w:rFonts w:hint="eastAsia" w:ascii="宋体" w:hAnsi="宋体" w:eastAsia="宋体" w:cs="宋体"/>
      <w:color w:val="FF0000"/>
      <w:sz w:val="20"/>
      <w:szCs w:val="20"/>
      <w:u w:val="none"/>
    </w:rPr>
  </w:style>
  <w:style w:type="character" w:customStyle="1" w:styleId="50">
    <w:name w:val="font11"/>
    <w:basedOn w:val="16"/>
    <w:qFormat/>
    <w:uiPriority w:val="0"/>
    <w:rPr>
      <w:rFonts w:hint="eastAsia" w:ascii="仿宋_GB2312" w:eastAsia="仿宋_GB2312" w:cs="仿宋_GB2312"/>
      <w:color w:val="000000"/>
      <w:sz w:val="22"/>
      <w:szCs w:val="22"/>
      <w:u w:val="none"/>
    </w:rPr>
  </w:style>
  <w:style w:type="paragraph" w:customStyle="1" w:styleId="51">
    <w:name w:val="Revision"/>
    <w:hidden/>
    <w:unhideWhenUsed/>
    <w:uiPriority w:val="99"/>
    <w:rPr>
      <w:rFonts w:ascii="Calibri" w:hAnsi="Calibri" w:eastAsia="仿宋" w:cs="Calibri"/>
      <w:kern w:val="2"/>
      <w:sz w:val="2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25</Pages>
  <Words>2415</Words>
  <Characters>2620</Characters>
  <Lines>95</Lines>
  <Paragraphs>26</Paragraphs>
  <TotalTime>4</TotalTime>
  <ScaleCrop>false</ScaleCrop>
  <LinksUpToDate>false</LinksUpToDate>
  <CharactersWithSpaces>2809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2024-06-14T10:19:00Z</dcterms:created>
  <dc:creator>qu yan</dc:creator>
  <cp:lastModifiedBy>瑿淳</cp:lastModifiedBy>
  <cp:lastPrinted>2022-10-21T04:00:00Z</cp:lastPrinted>
  <dcterms:modified xsi:type="dcterms:W3CDTF">2025-03-17T06:16:04Z</dcterms:modified>
  <dc:title>广东省产业集群工业互联数字化转型试点</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9908F90795FC497DB25A4C6827D5ADD7_13</vt:lpwstr>
  </property>
  <property fmtid="{D5CDD505-2E9C-101B-9397-08002B2CF9AE}" pid="4" name="KSOTemplateDocerSaveRecord">
    <vt:lpwstr>eyJoZGlkIjoiMzEwNTM5NzYwMDRjMzkwZTVkZjY2ODkwMGIxNGU0OTUiLCJ1c2VySWQiOiIzMjI0MTE4NjIifQ==</vt:lpwstr>
  </property>
</Properties>
</file>