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2EB1F">
      <w:pPr>
        <w:ind w:firstLine="880"/>
        <w:jc w:val="center"/>
        <w:rPr>
          <w:rFonts w:ascii="Times New Roman" w:hAnsi="Times New Roman" w:eastAsia="黑体" w:cs="Times New Roman"/>
          <w:sz w:val="44"/>
          <w:szCs w:val="44"/>
        </w:rPr>
      </w:pPr>
    </w:p>
    <w:p w14:paraId="5828617E">
      <w:pPr>
        <w:widowControl/>
        <w:jc w:val="center"/>
        <w:rPr>
          <w:rFonts w:hint="eastAsia" w:ascii="仿宋_GB2312" w:hAnsi="仿宋_GB2312" w:eastAsia="仿宋_GB2312" w:cs="仿宋_GB2312"/>
          <w:spacing w:val="-6"/>
          <w:sz w:val="32"/>
          <w:szCs w:val="32"/>
        </w:rPr>
      </w:pPr>
      <w:r>
        <w:rPr>
          <w:rFonts w:hint="eastAsia" w:ascii="方正小标宋简体" w:hAnsi="方正小标宋简体" w:eastAsia="方正小标宋简体" w:cs="方正小标宋简体"/>
          <w:sz w:val="44"/>
          <w:szCs w:val="44"/>
        </w:rPr>
        <w:t>佛山市中小企业数字化转型城市试点、佛山市产业集群数字化转型项目数字化牵引单位产品清单</w:t>
      </w:r>
    </w:p>
    <w:p w14:paraId="564A8A8A">
      <w:pPr>
        <w:spacing w:line="560" w:lineRule="exact"/>
        <w:jc w:val="center"/>
        <w:rPr>
          <w:rFonts w:hint="eastAsia" w:ascii="仿宋_GB2312" w:hAnsi="仿宋_GB2312" w:eastAsia="仿宋_GB2312" w:cs="仿宋_GB2312"/>
          <w:bCs/>
          <w:sz w:val="32"/>
          <w:szCs w:val="32"/>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数字化牵引单位：</w:t>
      </w:r>
      <w:bookmarkStart w:id="0" w:name="_GoBack"/>
      <w:r>
        <w:rPr>
          <w:rFonts w:hint="eastAsia" w:ascii="方正小标宋简体" w:hAnsi="方正小标宋简体" w:eastAsia="方正小标宋简体" w:cs="方正小标宋简体"/>
          <w:sz w:val="44"/>
          <w:szCs w:val="44"/>
        </w:rPr>
        <w:t>佛山企帅数字科技有限公司</w:t>
      </w:r>
      <w:bookmarkEnd w:id="0"/>
      <w:r>
        <w:rPr>
          <w:rFonts w:hint="eastAsia" w:ascii="方正小标宋简体" w:hAnsi="方正小标宋简体" w:eastAsia="方正小标宋简体" w:cs="方正小标宋简体"/>
          <w:sz w:val="44"/>
          <w:szCs w:val="44"/>
          <w:lang w:eastAsia="zh-CN"/>
        </w:rPr>
        <w:t>）</w:t>
      </w:r>
    </w:p>
    <w:p w14:paraId="2BBA19AF">
      <w:pPr>
        <w:spacing w:line="560" w:lineRule="exact"/>
        <w:rPr>
          <w:rFonts w:hint="eastAsia" w:ascii="仿宋_GB2312" w:hAnsi="仿宋_GB2312" w:eastAsia="仿宋_GB2312" w:cs="仿宋_GB2312"/>
          <w:bCs/>
          <w:sz w:val="32"/>
          <w:szCs w:val="32"/>
        </w:rPr>
      </w:pPr>
    </w:p>
    <w:p w14:paraId="706119A2">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一</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w:t>
      </w:r>
      <w:r>
        <w:rPr>
          <w:rFonts w:hint="eastAsia" w:ascii="仿宋_GB2312" w:hAnsi="仿宋_GB2312" w:eastAsia="仿宋_GB2312" w:cs="仿宋_GB2312"/>
          <w:bCs/>
          <w:kern w:val="2"/>
          <w:sz w:val="32"/>
          <w:szCs w:val="32"/>
          <w:lang w:val="en-US" w:eastAsia="zh-CN"/>
        </w:rPr>
        <w:t>中国电信股份有限公司佛山分公司</w:t>
      </w:r>
    </w:p>
    <w:tbl>
      <w:tblPr>
        <w:tblStyle w:val="14"/>
        <w:tblW w:w="0" w:type="auto"/>
        <w:tblInd w:w="113" w:type="dxa"/>
        <w:tblLayout w:type="autofit"/>
        <w:tblCellMar>
          <w:top w:w="0" w:type="dxa"/>
          <w:left w:w="108" w:type="dxa"/>
          <w:bottom w:w="0" w:type="dxa"/>
          <w:right w:w="108" w:type="dxa"/>
        </w:tblCellMar>
      </w:tblPr>
      <w:tblGrid>
        <w:gridCol w:w="806"/>
        <w:gridCol w:w="1511"/>
        <w:gridCol w:w="2317"/>
        <w:gridCol w:w="4386"/>
        <w:gridCol w:w="1556"/>
        <w:gridCol w:w="3349"/>
      </w:tblGrid>
      <w:tr w14:paraId="762D9C7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186FCE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01C17A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7" w:type="dxa"/>
            <w:tcBorders>
              <w:top w:val="single" w:color="auto" w:sz="4" w:space="0"/>
              <w:left w:val="nil"/>
              <w:bottom w:val="single" w:color="auto" w:sz="4" w:space="0"/>
              <w:right w:val="single" w:color="auto" w:sz="4" w:space="0"/>
            </w:tcBorders>
            <w:shd w:val="clear" w:color="auto" w:fill="auto"/>
            <w:vAlign w:val="center"/>
          </w:tcPr>
          <w:p w14:paraId="1BF7A51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6" w:type="dxa"/>
            <w:tcBorders>
              <w:top w:val="single" w:color="auto" w:sz="4" w:space="0"/>
              <w:left w:val="nil"/>
              <w:bottom w:val="single" w:color="auto" w:sz="4" w:space="0"/>
              <w:right w:val="single" w:color="auto" w:sz="4" w:space="0"/>
            </w:tcBorders>
            <w:shd w:val="clear" w:color="auto" w:fill="auto"/>
            <w:vAlign w:val="center"/>
          </w:tcPr>
          <w:p w14:paraId="28AECBE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6" w:type="dxa"/>
            <w:tcBorders>
              <w:top w:val="single" w:color="auto" w:sz="4" w:space="0"/>
              <w:left w:val="nil"/>
              <w:bottom w:val="single" w:color="auto" w:sz="4" w:space="0"/>
              <w:right w:val="single" w:color="auto" w:sz="4" w:space="0"/>
            </w:tcBorders>
            <w:shd w:val="clear" w:color="auto" w:fill="auto"/>
            <w:vAlign w:val="center"/>
          </w:tcPr>
          <w:p w14:paraId="67FFC532">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349" w:type="dxa"/>
            <w:tcBorders>
              <w:top w:val="single" w:color="auto" w:sz="4" w:space="0"/>
              <w:left w:val="nil"/>
              <w:bottom w:val="single" w:color="auto" w:sz="4" w:space="0"/>
              <w:right w:val="single" w:color="auto" w:sz="4" w:space="0"/>
            </w:tcBorders>
            <w:shd w:val="clear" w:color="auto" w:fill="auto"/>
            <w:vAlign w:val="center"/>
          </w:tcPr>
          <w:p w14:paraId="055CC00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675680F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A4FAF19">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lang w:val="en-US" w:eastAsia="zh-CN"/>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478E687">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rPr>
              <w:t>工业PON</w:t>
            </w:r>
          </w:p>
        </w:tc>
        <w:tc>
          <w:tcPr>
            <w:tcW w:w="2317" w:type="dxa"/>
            <w:tcBorders>
              <w:top w:val="single" w:color="auto" w:sz="4" w:space="0"/>
              <w:left w:val="nil"/>
              <w:bottom w:val="single" w:color="auto" w:sz="4" w:space="0"/>
              <w:right w:val="single" w:color="auto" w:sz="4" w:space="0"/>
            </w:tcBorders>
            <w:shd w:val="clear" w:color="auto" w:fill="auto"/>
            <w:vAlign w:val="center"/>
          </w:tcPr>
          <w:p w14:paraId="4B81E25F">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lang w:bidi="ar"/>
              </w:rPr>
              <w:t>工厂内各种设备运行数据、生产数据的采集与传输</w:t>
            </w:r>
          </w:p>
        </w:tc>
        <w:tc>
          <w:tcPr>
            <w:tcW w:w="4386" w:type="dxa"/>
            <w:tcBorders>
              <w:top w:val="single" w:color="auto" w:sz="4" w:space="0"/>
              <w:left w:val="nil"/>
              <w:bottom w:val="single" w:color="auto" w:sz="4" w:space="0"/>
              <w:right w:val="single" w:color="auto" w:sz="4" w:space="0"/>
            </w:tcBorders>
            <w:shd w:val="clear" w:color="auto" w:fill="auto"/>
            <w:vAlign w:val="center"/>
          </w:tcPr>
          <w:p w14:paraId="51AA521E">
            <w:pPr>
              <w:widowControl/>
              <w:jc w:val="left"/>
              <w:textAlignment w:val="center"/>
              <w:rPr>
                <w:rFonts w:hint="eastAsia" w:ascii="仿宋_GB2312" w:hAnsi="仿宋_GB2312" w:eastAsia="仿宋_GB2312" w:cs="仿宋_GB2312"/>
                <w:b w:val="0"/>
                <w:bCs w:val="0"/>
                <w:color w:val="auto"/>
                <w:kern w:val="0"/>
                <w:sz w:val="24"/>
                <w:szCs w:val="24"/>
                <w:lang w:val="en-US" w:eastAsia="zh-Hans" w:bidi="ar-SA"/>
              </w:rPr>
            </w:pPr>
            <w:r>
              <w:rPr>
                <w:rFonts w:hint="eastAsia" w:ascii="仿宋" w:hAnsi="仿宋" w:cs="仿宋"/>
                <w:color w:val="000000"/>
                <w:kern w:val="0"/>
                <w:sz w:val="24"/>
                <w:szCs w:val="24"/>
                <w:lang w:bidi="ar"/>
              </w:rPr>
              <w:t>用于工业企业内网建设和改造，采用无源光网络（PON）技术为园区、企业独立组网，可承载企业生产、办公、安防等业务的数据传输，满足企业新建网络和改造网络的需求。</w:t>
            </w:r>
          </w:p>
        </w:tc>
        <w:tc>
          <w:tcPr>
            <w:tcW w:w="1556" w:type="dxa"/>
            <w:tcBorders>
              <w:top w:val="single" w:color="auto" w:sz="4" w:space="0"/>
              <w:left w:val="nil"/>
              <w:bottom w:val="single" w:color="auto" w:sz="4" w:space="0"/>
              <w:right w:val="single" w:color="auto" w:sz="4" w:space="0"/>
            </w:tcBorders>
            <w:shd w:val="clear" w:color="auto" w:fill="auto"/>
            <w:vAlign w:val="center"/>
          </w:tcPr>
          <w:p w14:paraId="5B10ACE7">
            <w:pPr>
              <w:widowControl/>
              <w:ind w:left="0" w:leftChars="0" w:right="-171" w:rightChars="-61" w:firstLine="0" w:firstLineChars="0"/>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val="en-US" w:eastAsia="zh-CN" w:bidi="ar"/>
              </w:rPr>
              <w:t>0.3</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-20</w:t>
            </w:r>
            <w:r>
              <w:rPr>
                <w:rFonts w:hint="eastAsia" w:ascii="仿宋" w:hAnsi="仿宋" w:cs="仿宋"/>
                <w:color w:val="000000"/>
                <w:kern w:val="0"/>
                <w:sz w:val="24"/>
                <w:szCs w:val="24"/>
                <w:highlight w:val="none"/>
                <w:lang w:eastAsia="zh-CN" w:bidi="ar"/>
              </w:rPr>
              <w:t>万元</w:t>
            </w:r>
          </w:p>
        </w:tc>
        <w:tc>
          <w:tcPr>
            <w:tcW w:w="3349" w:type="dxa"/>
            <w:tcBorders>
              <w:top w:val="single" w:color="auto" w:sz="4" w:space="0"/>
              <w:left w:val="nil"/>
              <w:bottom w:val="single" w:color="auto" w:sz="4" w:space="0"/>
              <w:right w:val="single" w:color="auto" w:sz="4" w:space="0"/>
            </w:tcBorders>
            <w:shd w:val="clear" w:color="auto" w:fill="auto"/>
            <w:vAlign w:val="center"/>
          </w:tcPr>
          <w:p w14:paraId="264CA361">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p>
        </w:tc>
      </w:tr>
      <w:tr w14:paraId="428EA39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5C3889">
            <w:pPr>
              <w:keepNext w:val="0"/>
              <w:keepLines w:val="0"/>
              <w:widowControl/>
              <w:numPr>
                <w:ilvl w:val="-1"/>
                <w:numId w:val="0"/>
              </w:numPr>
              <w:suppressLineNumbers w:val="0"/>
              <w:ind w:left="0" w:leftChars="0" w:firstLine="0" w:firstLineChars="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8E057F2">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themeColor="text1"/>
                <w:kern w:val="0"/>
                <w:sz w:val="24"/>
                <w:szCs w:val="24"/>
                <w:highlight w:val="none"/>
                <w14:textFill>
                  <w14:solidFill>
                    <w14:schemeClr w14:val="tx1"/>
                  </w14:solidFill>
                </w14:textFill>
              </w:rPr>
              <w:t>工业</w:t>
            </w:r>
            <w:r>
              <w:rPr>
                <w:rFonts w:hint="eastAsia" w:ascii="仿宋" w:hAnsi="仿宋" w:cs="仿宋"/>
                <w:color w:val="000000" w:themeColor="text1"/>
                <w:kern w:val="0"/>
                <w:sz w:val="24"/>
                <w:szCs w:val="24"/>
                <w:highlight w:val="none"/>
                <w:lang w:val="en-US" w:eastAsia="zh-CN"/>
                <w14:textFill>
                  <w14:solidFill>
                    <w14:schemeClr w14:val="tx1"/>
                  </w14:solidFill>
                </w14:textFill>
              </w:rPr>
              <w:t>防火墙</w:t>
            </w:r>
          </w:p>
        </w:tc>
        <w:tc>
          <w:tcPr>
            <w:tcW w:w="2317" w:type="dxa"/>
            <w:tcBorders>
              <w:top w:val="single" w:color="auto" w:sz="4" w:space="0"/>
              <w:left w:val="nil"/>
              <w:bottom w:val="single" w:color="auto" w:sz="4" w:space="0"/>
              <w:right w:val="single" w:color="auto" w:sz="4" w:space="0"/>
            </w:tcBorders>
            <w:shd w:val="clear" w:color="auto" w:fill="auto"/>
            <w:vAlign w:val="center"/>
          </w:tcPr>
          <w:p w14:paraId="29683DBD">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val="en-US" w:eastAsia="zh-CN" w:bidi="ar"/>
              </w:rPr>
              <w:t>一款针对互联网协议及工业协议的安全服务</w:t>
            </w:r>
            <w:r>
              <w:rPr>
                <w:rFonts w:hint="eastAsia" w:ascii="仿宋" w:hAnsi="仿宋" w:cs="仿宋"/>
                <w:color w:val="000000"/>
                <w:kern w:val="0"/>
                <w:sz w:val="24"/>
                <w:szCs w:val="24"/>
                <w:highlight w:val="none"/>
                <w:lang w:bidi="ar"/>
              </w:rPr>
              <w:t>，满足特殊工业控制系统安全防护要求，实现生产网与互联网、办公网的逻辑隔离</w:t>
            </w:r>
          </w:p>
        </w:tc>
        <w:tc>
          <w:tcPr>
            <w:tcW w:w="4386" w:type="dxa"/>
            <w:tcBorders>
              <w:top w:val="single" w:color="auto" w:sz="4" w:space="0"/>
              <w:left w:val="nil"/>
              <w:bottom w:val="single" w:color="auto" w:sz="4" w:space="0"/>
              <w:right w:val="single" w:color="auto" w:sz="4" w:space="0"/>
            </w:tcBorders>
            <w:shd w:val="clear" w:color="auto" w:fill="auto"/>
            <w:vAlign w:val="center"/>
          </w:tcPr>
          <w:p w14:paraId="5600FEAD">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val="en-US" w:eastAsia="zh-CN" w:bidi="ar"/>
              </w:rPr>
              <w:t>专用于工控场景进行边界安全逻辑隔离。采用多种技术手段，实施四重白名单的深度防御和一体化引擎机制，既实现了工业安全的深度安全要求，又满足工业安全的低时延要求。满足IP40、全封闭、无风扇、宽温、防潮防腐蚀、抗震、冗余电源等工业级可靠性和稳定性要求，有效确保了工业网络内外部的边界安全。</w:t>
            </w:r>
          </w:p>
        </w:tc>
        <w:tc>
          <w:tcPr>
            <w:tcW w:w="1556" w:type="dxa"/>
            <w:tcBorders>
              <w:top w:val="single" w:color="auto" w:sz="4" w:space="0"/>
              <w:left w:val="nil"/>
              <w:bottom w:val="single" w:color="auto" w:sz="4" w:space="0"/>
              <w:right w:val="single" w:color="auto" w:sz="4" w:space="0"/>
            </w:tcBorders>
            <w:shd w:val="clear" w:color="auto" w:fill="auto"/>
            <w:vAlign w:val="center"/>
          </w:tcPr>
          <w:p w14:paraId="48030306">
            <w:pPr>
              <w:widowControl/>
              <w:ind w:right="-171" w:rightChars="-61"/>
              <w:jc w:val="left"/>
              <w:textAlignment w:val="center"/>
              <w:rPr>
                <w:rFonts w:hint="eastAsia" w:ascii="仿宋_GB2312" w:hAnsi="仿宋_GB2312" w:eastAsia="仿宋" w:cs="仿宋_GB2312"/>
                <w:b w:val="0"/>
                <w:bCs w:val="0"/>
                <w:color w:val="auto"/>
                <w:kern w:val="0"/>
                <w:sz w:val="24"/>
                <w:szCs w:val="24"/>
                <w:highlight w:val="none"/>
                <w:lang w:val="en-US" w:eastAsia="zh-CN" w:bidi="ar-SA"/>
              </w:rPr>
            </w:pPr>
            <w:r>
              <w:rPr>
                <w:rFonts w:hint="eastAsia" w:ascii="仿宋" w:hAnsi="仿宋" w:cs="仿宋"/>
                <w:color w:val="000000"/>
                <w:kern w:val="0"/>
                <w:sz w:val="24"/>
                <w:szCs w:val="24"/>
                <w:highlight w:val="none"/>
                <w:lang w:bidi="ar"/>
              </w:rPr>
              <w:t>3</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-20</w:t>
            </w:r>
            <w:r>
              <w:rPr>
                <w:rFonts w:hint="eastAsia" w:ascii="仿宋" w:hAnsi="仿宋" w:cs="仿宋"/>
                <w:color w:val="000000"/>
                <w:kern w:val="0"/>
                <w:sz w:val="24"/>
                <w:szCs w:val="24"/>
                <w:highlight w:val="none"/>
                <w:lang w:eastAsia="zh-CN" w:bidi="ar"/>
              </w:rPr>
              <w:t>万元</w:t>
            </w:r>
          </w:p>
        </w:tc>
        <w:tc>
          <w:tcPr>
            <w:tcW w:w="3349" w:type="dxa"/>
            <w:tcBorders>
              <w:top w:val="single" w:color="auto" w:sz="4" w:space="0"/>
              <w:left w:val="nil"/>
              <w:bottom w:val="single" w:color="auto" w:sz="4" w:space="0"/>
              <w:right w:val="single" w:color="auto" w:sz="4" w:space="0"/>
            </w:tcBorders>
            <w:shd w:val="clear" w:color="auto" w:fill="auto"/>
            <w:vAlign w:val="center"/>
          </w:tcPr>
          <w:p w14:paraId="5B8A8566">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p>
        </w:tc>
      </w:tr>
      <w:tr w14:paraId="470C02F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E664B04">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lang w:val="en-US" w:eastAsia="zh-CN"/>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C151A52">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工控主机卫士</w:t>
            </w:r>
          </w:p>
        </w:tc>
        <w:tc>
          <w:tcPr>
            <w:tcW w:w="2317" w:type="dxa"/>
            <w:tcBorders>
              <w:top w:val="single" w:color="auto" w:sz="4" w:space="0"/>
              <w:left w:val="nil"/>
              <w:bottom w:val="single" w:color="auto" w:sz="4" w:space="0"/>
              <w:right w:val="single" w:color="auto" w:sz="4" w:space="0"/>
            </w:tcBorders>
            <w:shd w:val="clear" w:color="auto" w:fill="auto"/>
            <w:vAlign w:val="center"/>
          </w:tcPr>
          <w:p w14:paraId="0CD482EC">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生产工控主机防护软件</w:t>
            </w:r>
          </w:p>
        </w:tc>
        <w:tc>
          <w:tcPr>
            <w:tcW w:w="4386" w:type="dxa"/>
            <w:tcBorders>
              <w:top w:val="single" w:color="auto" w:sz="4" w:space="0"/>
              <w:left w:val="nil"/>
              <w:bottom w:val="single" w:color="auto" w:sz="4" w:space="0"/>
              <w:right w:val="single" w:color="auto" w:sz="4" w:space="0"/>
            </w:tcBorders>
            <w:shd w:val="clear" w:color="auto" w:fill="auto"/>
            <w:vAlign w:val="center"/>
          </w:tcPr>
          <w:p w14:paraId="0B411E32">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设置工业主机的网络连接规则列表，禁止非授权的网络连接确保终端的网络连接安全可信、阻断病毒木马的扩散路径支持自动枚举操作系统出站及入站网络端口、协议、IP地址等连接状态支持手动添加出站及入站规则，支持定义规则名称、程序路径。协议类型、本地端口、远端端口、本地IP、远端IP以及允许或阻止策略</w:t>
            </w:r>
            <w:r>
              <w:rPr>
                <w:rFonts w:hint="eastAsia" w:ascii="仿宋" w:hAnsi="仿宋" w:cs="仿宋"/>
                <w:color w:val="000000"/>
                <w:kern w:val="0"/>
                <w:sz w:val="24"/>
                <w:szCs w:val="24"/>
                <w:highlight w:val="none"/>
                <w:lang w:eastAsia="zh-CN" w:bidi="ar"/>
              </w:rPr>
              <w:t>。</w:t>
            </w:r>
          </w:p>
        </w:tc>
        <w:tc>
          <w:tcPr>
            <w:tcW w:w="1556" w:type="dxa"/>
            <w:tcBorders>
              <w:top w:val="single" w:color="auto" w:sz="4" w:space="0"/>
              <w:left w:val="nil"/>
              <w:bottom w:val="single" w:color="auto" w:sz="4" w:space="0"/>
              <w:right w:val="single" w:color="auto" w:sz="4" w:space="0"/>
            </w:tcBorders>
            <w:shd w:val="clear" w:color="auto" w:fill="auto"/>
            <w:vAlign w:val="center"/>
          </w:tcPr>
          <w:p w14:paraId="4A53F399">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0.35</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-2</w:t>
            </w:r>
            <w:r>
              <w:rPr>
                <w:rFonts w:hint="eastAsia" w:ascii="仿宋" w:hAnsi="仿宋" w:cs="仿宋"/>
                <w:color w:val="000000"/>
                <w:kern w:val="0"/>
                <w:sz w:val="24"/>
                <w:szCs w:val="24"/>
                <w:highlight w:val="none"/>
                <w:lang w:eastAsia="zh-CN" w:bidi="ar"/>
              </w:rPr>
              <w:t>万元</w:t>
            </w:r>
          </w:p>
        </w:tc>
        <w:tc>
          <w:tcPr>
            <w:tcW w:w="3349" w:type="dxa"/>
            <w:tcBorders>
              <w:top w:val="single" w:color="auto" w:sz="4" w:space="0"/>
              <w:left w:val="nil"/>
              <w:bottom w:val="single" w:color="auto" w:sz="4" w:space="0"/>
              <w:right w:val="single" w:color="auto" w:sz="4" w:space="0"/>
            </w:tcBorders>
            <w:shd w:val="clear" w:color="auto" w:fill="auto"/>
            <w:vAlign w:val="center"/>
          </w:tcPr>
          <w:p w14:paraId="453D6D9C">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p>
        </w:tc>
      </w:tr>
      <w:tr w14:paraId="3B57038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7BF3877">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lang w:val="en-US" w:eastAsia="zh-CN"/>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09D4026">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翼备份</w:t>
            </w:r>
          </w:p>
        </w:tc>
        <w:tc>
          <w:tcPr>
            <w:tcW w:w="2317" w:type="dxa"/>
            <w:tcBorders>
              <w:top w:val="single" w:color="auto" w:sz="4" w:space="0"/>
              <w:left w:val="nil"/>
              <w:bottom w:val="single" w:color="auto" w:sz="4" w:space="0"/>
              <w:right w:val="single" w:color="auto" w:sz="4" w:space="0"/>
            </w:tcBorders>
            <w:shd w:val="clear" w:color="auto" w:fill="auto"/>
            <w:vAlign w:val="center"/>
          </w:tcPr>
          <w:p w14:paraId="4931C18B">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为广大政企用户提供按需购买、即买即用、安全可靠、弹性可扩展的云灾备服务，满足客户多层次的业务数据保障需求及监控合规需求</w:t>
            </w:r>
          </w:p>
        </w:tc>
        <w:tc>
          <w:tcPr>
            <w:tcW w:w="4386" w:type="dxa"/>
            <w:tcBorders>
              <w:top w:val="single" w:color="auto" w:sz="4" w:space="0"/>
              <w:left w:val="nil"/>
              <w:bottom w:val="single" w:color="auto" w:sz="4" w:space="0"/>
              <w:right w:val="single" w:color="auto" w:sz="4" w:space="0"/>
            </w:tcBorders>
            <w:shd w:val="clear" w:color="auto" w:fill="auto"/>
            <w:vAlign w:val="center"/>
          </w:tcPr>
          <w:p w14:paraId="7C97B466">
            <w:pPr>
              <w:widowControl/>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在天翼云各节点资源池云主机上构建云灾备服务。所有备份数据存储到天翼云块存储等资源池。组建专线、VPN、互联网带宽等多种形式存储通道。实现异地备份。一旦用户本地数据丢失，可从云端快速恢复数据。</w:t>
            </w:r>
          </w:p>
        </w:tc>
        <w:tc>
          <w:tcPr>
            <w:tcW w:w="1556" w:type="dxa"/>
            <w:tcBorders>
              <w:top w:val="single" w:color="auto" w:sz="4" w:space="0"/>
              <w:left w:val="nil"/>
              <w:bottom w:val="single" w:color="auto" w:sz="4" w:space="0"/>
              <w:right w:val="single" w:color="auto" w:sz="4" w:space="0"/>
            </w:tcBorders>
            <w:shd w:val="clear" w:color="auto" w:fill="auto"/>
            <w:vAlign w:val="center"/>
          </w:tcPr>
          <w:p w14:paraId="4B2B149D">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0.06</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-2</w:t>
            </w:r>
            <w:r>
              <w:rPr>
                <w:rFonts w:hint="eastAsia" w:ascii="仿宋" w:hAnsi="仿宋" w:cs="仿宋"/>
                <w:color w:val="000000"/>
                <w:kern w:val="0"/>
                <w:sz w:val="24"/>
                <w:szCs w:val="24"/>
                <w:highlight w:val="none"/>
                <w:lang w:eastAsia="zh-CN" w:bidi="ar"/>
              </w:rPr>
              <w:t>万元</w:t>
            </w:r>
          </w:p>
        </w:tc>
        <w:tc>
          <w:tcPr>
            <w:tcW w:w="3349" w:type="dxa"/>
            <w:tcBorders>
              <w:top w:val="single" w:color="auto" w:sz="4" w:space="0"/>
              <w:left w:val="nil"/>
              <w:bottom w:val="single" w:color="auto" w:sz="4" w:space="0"/>
              <w:right w:val="single" w:color="auto" w:sz="4" w:space="0"/>
            </w:tcBorders>
            <w:shd w:val="clear" w:color="auto" w:fill="auto"/>
            <w:vAlign w:val="center"/>
          </w:tcPr>
          <w:p w14:paraId="6A3CA716">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0086B0A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4D05933">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lang w:val="en-US" w:eastAsia="zh-CN"/>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3B26854C">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数盾（数据防泄漏）</w:t>
            </w:r>
          </w:p>
        </w:tc>
        <w:tc>
          <w:tcPr>
            <w:tcW w:w="2317" w:type="dxa"/>
            <w:tcBorders>
              <w:top w:val="single" w:color="auto" w:sz="4" w:space="0"/>
              <w:left w:val="nil"/>
              <w:bottom w:val="single" w:color="auto" w:sz="4" w:space="0"/>
              <w:right w:val="single" w:color="auto" w:sz="4" w:space="0"/>
            </w:tcBorders>
            <w:shd w:val="clear" w:color="auto" w:fill="auto"/>
            <w:vAlign w:val="center"/>
          </w:tcPr>
          <w:p w14:paraId="68198745">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对内部文件进行加密，对外发的文件进行审计或拦截</w:t>
            </w:r>
          </w:p>
        </w:tc>
        <w:tc>
          <w:tcPr>
            <w:tcW w:w="4386" w:type="dxa"/>
            <w:tcBorders>
              <w:top w:val="single" w:color="auto" w:sz="4" w:space="0"/>
              <w:left w:val="nil"/>
              <w:bottom w:val="single" w:color="auto" w:sz="4" w:space="0"/>
              <w:right w:val="single" w:color="auto" w:sz="4" w:space="0"/>
            </w:tcBorders>
            <w:shd w:val="clear" w:color="auto" w:fill="auto"/>
            <w:vAlign w:val="center"/>
          </w:tcPr>
          <w:p w14:paraId="7E36C777">
            <w:pPr>
              <w:widowControl/>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融合机器学习、关联分析、文件加密技术、访问控制、数据标识等多种技术的综合性数据安全防护产品，该产品以数据为中心，为用户数据资产提供事前主动防御、事中实时监测、事后追踪溯源、全程态势感知，基于数据的全生命周期提供全方位、立体化防护。</w:t>
            </w:r>
          </w:p>
        </w:tc>
        <w:tc>
          <w:tcPr>
            <w:tcW w:w="1556" w:type="dxa"/>
            <w:tcBorders>
              <w:top w:val="single" w:color="auto" w:sz="4" w:space="0"/>
              <w:left w:val="nil"/>
              <w:bottom w:val="single" w:color="auto" w:sz="4" w:space="0"/>
              <w:right w:val="single" w:color="auto" w:sz="4" w:space="0"/>
            </w:tcBorders>
            <w:shd w:val="clear" w:color="auto" w:fill="auto"/>
            <w:vAlign w:val="center"/>
          </w:tcPr>
          <w:p w14:paraId="4371F844">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0.3</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-10</w:t>
            </w:r>
            <w:r>
              <w:rPr>
                <w:rFonts w:hint="eastAsia" w:ascii="仿宋" w:hAnsi="仿宋" w:cs="仿宋"/>
                <w:color w:val="000000"/>
                <w:kern w:val="0"/>
                <w:sz w:val="24"/>
                <w:szCs w:val="24"/>
                <w:highlight w:val="none"/>
                <w:lang w:eastAsia="zh-CN" w:bidi="ar"/>
              </w:rPr>
              <w:t>万元</w:t>
            </w:r>
          </w:p>
        </w:tc>
        <w:tc>
          <w:tcPr>
            <w:tcW w:w="3349" w:type="dxa"/>
            <w:tcBorders>
              <w:top w:val="single" w:color="auto" w:sz="4" w:space="0"/>
              <w:left w:val="nil"/>
              <w:bottom w:val="single" w:color="auto" w:sz="4" w:space="0"/>
              <w:right w:val="single" w:color="auto" w:sz="4" w:space="0"/>
            </w:tcBorders>
            <w:shd w:val="clear" w:color="auto" w:fill="auto"/>
            <w:vAlign w:val="center"/>
          </w:tcPr>
          <w:p w14:paraId="60438244">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040B31E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BCFE5D9">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lang w:val="en-US" w:eastAsia="zh-CN"/>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662A980D">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themeColor="text1"/>
                <w:kern w:val="0"/>
                <w:sz w:val="24"/>
                <w:szCs w:val="24"/>
                <w:highlight w:val="none"/>
                <w14:textFill>
                  <w14:solidFill>
                    <w14:schemeClr w14:val="tx1"/>
                  </w14:solidFill>
                </w14:textFill>
              </w:rPr>
              <w:t>安全大脑</w:t>
            </w:r>
          </w:p>
        </w:tc>
        <w:tc>
          <w:tcPr>
            <w:tcW w:w="2317" w:type="dxa"/>
            <w:tcBorders>
              <w:top w:val="single" w:color="auto" w:sz="4" w:space="0"/>
              <w:left w:val="nil"/>
              <w:bottom w:val="single" w:color="auto" w:sz="4" w:space="0"/>
              <w:right w:val="single" w:color="auto" w:sz="4" w:space="0"/>
            </w:tcBorders>
            <w:shd w:val="clear" w:color="auto" w:fill="auto"/>
            <w:vAlign w:val="center"/>
          </w:tcPr>
          <w:p w14:paraId="1D1243D6">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提供云端的数据存储及安全事件分析，联动天翼安全网关进行必要时的策略阻断</w:t>
            </w:r>
          </w:p>
        </w:tc>
        <w:tc>
          <w:tcPr>
            <w:tcW w:w="4386" w:type="dxa"/>
            <w:tcBorders>
              <w:top w:val="single" w:color="auto" w:sz="4" w:space="0"/>
              <w:left w:val="nil"/>
              <w:bottom w:val="single" w:color="auto" w:sz="4" w:space="0"/>
              <w:right w:val="single" w:color="auto" w:sz="4" w:space="0"/>
            </w:tcBorders>
            <w:shd w:val="clear" w:color="auto" w:fill="auto"/>
            <w:vAlign w:val="center"/>
          </w:tcPr>
          <w:p w14:paraId="2C7AF4DD">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安全大脑</w:t>
            </w:r>
            <w:r>
              <w:rPr>
                <w:rFonts w:hint="eastAsia" w:ascii="仿宋" w:hAnsi="仿宋" w:cs="仿宋"/>
                <w:color w:val="000000"/>
                <w:kern w:val="0"/>
                <w:sz w:val="24"/>
                <w:szCs w:val="24"/>
                <w:highlight w:val="none"/>
                <w:lang w:val="en-US" w:eastAsia="zh-CN" w:bidi="ar"/>
              </w:rPr>
              <w:t>按照“一个中心三重防护”的标准要求，并将安全服务化，打造安全基础设施平台，提供云化安全监测和服务能力。对比市面上同类型产品，在成本、License更新、可视化威胁感知、安全月报、电信服务方面更有优势，可提供24小时无间断安全防护服务，为企业降本增效。</w:t>
            </w:r>
          </w:p>
        </w:tc>
        <w:tc>
          <w:tcPr>
            <w:tcW w:w="1556" w:type="dxa"/>
            <w:tcBorders>
              <w:top w:val="single" w:color="auto" w:sz="4" w:space="0"/>
              <w:left w:val="nil"/>
              <w:bottom w:val="single" w:color="auto" w:sz="4" w:space="0"/>
              <w:right w:val="single" w:color="auto" w:sz="4" w:space="0"/>
            </w:tcBorders>
            <w:shd w:val="clear" w:color="auto" w:fill="auto"/>
            <w:vAlign w:val="center"/>
          </w:tcPr>
          <w:p w14:paraId="29FE49E3">
            <w:pPr>
              <w:widowControl/>
              <w:ind w:right="20" w:rightChars="7"/>
              <w:jc w:val="left"/>
              <w:textAlignment w:val="center"/>
              <w:rPr>
                <w:rFonts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120/200/260元/月；</w:t>
            </w:r>
          </w:p>
          <w:p w14:paraId="4EAF2719">
            <w:pPr>
              <w:widowControl/>
              <w:ind w:right="20" w:rightChars="7"/>
              <w:jc w:val="left"/>
              <w:textAlignment w:val="center"/>
              <w:rPr>
                <w:rFonts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专线版：399/699/899元/月；</w:t>
            </w:r>
          </w:p>
          <w:p w14:paraId="5B639676">
            <w:pPr>
              <w:widowControl/>
              <w:ind w:right="-64" w:rightChars="-23"/>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按实际使用档次收费</w:t>
            </w:r>
          </w:p>
        </w:tc>
        <w:tc>
          <w:tcPr>
            <w:tcW w:w="3349" w:type="dxa"/>
            <w:tcBorders>
              <w:top w:val="single" w:color="auto" w:sz="4" w:space="0"/>
              <w:left w:val="nil"/>
              <w:bottom w:val="single" w:color="auto" w:sz="4" w:space="0"/>
              <w:right w:val="single" w:color="auto" w:sz="4" w:space="0"/>
            </w:tcBorders>
            <w:shd w:val="clear" w:color="auto" w:fill="auto"/>
            <w:vAlign w:val="center"/>
          </w:tcPr>
          <w:p w14:paraId="3D037BDB">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p>
        </w:tc>
      </w:tr>
      <w:tr w14:paraId="604AFD48">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2063BBB">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1B116688">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themeColor="text1"/>
                <w:kern w:val="0"/>
                <w:sz w:val="24"/>
                <w:szCs w:val="24"/>
                <w:highlight w:val="none"/>
                <w14:textFill>
                  <w14:solidFill>
                    <w14:schemeClr w14:val="tx1"/>
                  </w14:solidFill>
                </w14:textFill>
              </w:rPr>
              <w:t>互联网</w:t>
            </w:r>
            <w:r>
              <w:rPr>
                <w:rFonts w:hint="eastAsia" w:ascii="仿宋" w:hAnsi="仿宋" w:cs="仿宋"/>
                <w:color w:val="000000" w:themeColor="text1"/>
                <w:kern w:val="0"/>
                <w:sz w:val="24"/>
                <w:szCs w:val="24"/>
                <w:highlight w:val="none"/>
                <w:lang w:val="en-US" w:eastAsia="zh-CN"/>
                <w14:textFill>
                  <w14:solidFill>
                    <w14:schemeClr w14:val="tx1"/>
                  </w14:solidFill>
                </w14:textFill>
              </w:rPr>
              <w:t>防火墙</w:t>
            </w:r>
          </w:p>
        </w:tc>
        <w:tc>
          <w:tcPr>
            <w:tcW w:w="2317" w:type="dxa"/>
            <w:tcBorders>
              <w:top w:val="single" w:color="auto" w:sz="4" w:space="0"/>
              <w:left w:val="nil"/>
              <w:bottom w:val="single" w:color="auto" w:sz="4" w:space="0"/>
              <w:right w:val="single" w:color="auto" w:sz="4" w:space="0"/>
            </w:tcBorders>
            <w:shd w:val="clear" w:color="auto" w:fill="auto"/>
            <w:vAlign w:val="center"/>
          </w:tcPr>
          <w:p w14:paraId="4090A055">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对企业互联侧实现设备+云平台形式立体化防护</w:t>
            </w:r>
          </w:p>
        </w:tc>
        <w:tc>
          <w:tcPr>
            <w:tcW w:w="4386" w:type="dxa"/>
            <w:tcBorders>
              <w:top w:val="single" w:color="auto" w:sz="4" w:space="0"/>
              <w:left w:val="nil"/>
              <w:bottom w:val="single" w:color="auto" w:sz="4" w:space="0"/>
              <w:right w:val="single" w:color="auto" w:sz="4" w:space="0"/>
            </w:tcBorders>
            <w:shd w:val="clear" w:color="auto" w:fill="auto"/>
            <w:vAlign w:val="center"/>
          </w:tcPr>
          <w:p w14:paraId="63D54438">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提供互联网</w:t>
            </w:r>
            <w:r>
              <w:rPr>
                <w:rFonts w:hint="eastAsia" w:ascii="仿宋" w:hAnsi="仿宋" w:cs="仿宋"/>
                <w:color w:val="000000"/>
                <w:kern w:val="0"/>
                <w:sz w:val="24"/>
                <w:szCs w:val="24"/>
                <w:highlight w:val="none"/>
                <w:lang w:eastAsia="zh-CN" w:bidi="ar"/>
              </w:rPr>
              <w:t>边界防护</w:t>
            </w:r>
            <w:r>
              <w:rPr>
                <w:rFonts w:hint="eastAsia" w:ascii="仿宋" w:hAnsi="仿宋" w:cs="仿宋"/>
                <w:color w:val="000000"/>
                <w:kern w:val="0"/>
                <w:sz w:val="24"/>
                <w:szCs w:val="24"/>
                <w:highlight w:val="none"/>
                <w:lang w:bidi="ar"/>
              </w:rPr>
              <w:t>服务，以本地安全部署和云平台大数据防护相结合形式，实现立体式防护，并可免费在线升级病毒库和更新防护版本，实现企业对互联网的有效防护。并可与工业防火墙搭配使用。满足终端安全、集成VPN、应用识别、IPS、入侵防御、AV防病毒、WEB防护、URL过滤、事件审计、问题定位等功能，提供立体化、云网化的安全防护服务。</w:t>
            </w:r>
          </w:p>
        </w:tc>
        <w:tc>
          <w:tcPr>
            <w:tcW w:w="1556" w:type="dxa"/>
            <w:tcBorders>
              <w:top w:val="single" w:color="auto" w:sz="4" w:space="0"/>
              <w:left w:val="nil"/>
              <w:bottom w:val="single" w:color="auto" w:sz="4" w:space="0"/>
              <w:right w:val="single" w:color="auto" w:sz="4" w:space="0"/>
            </w:tcBorders>
            <w:shd w:val="clear" w:color="auto" w:fill="auto"/>
            <w:vAlign w:val="center"/>
          </w:tcPr>
          <w:p w14:paraId="10AB043B">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0.3</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-10</w:t>
            </w:r>
            <w:r>
              <w:rPr>
                <w:rFonts w:hint="eastAsia" w:ascii="仿宋" w:hAnsi="仿宋" w:cs="仿宋"/>
                <w:color w:val="000000"/>
                <w:kern w:val="0"/>
                <w:sz w:val="24"/>
                <w:szCs w:val="24"/>
                <w:highlight w:val="none"/>
                <w:lang w:eastAsia="zh-CN" w:bidi="ar"/>
              </w:rPr>
              <w:t>万元</w:t>
            </w:r>
          </w:p>
        </w:tc>
        <w:tc>
          <w:tcPr>
            <w:tcW w:w="3349" w:type="dxa"/>
            <w:tcBorders>
              <w:top w:val="single" w:color="auto" w:sz="4" w:space="0"/>
              <w:left w:val="nil"/>
              <w:bottom w:val="single" w:color="auto" w:sz="4" w:space="0"/>
              <w:right w:val="single" w:color="auto" w:sz="4" w:space="0"/>
            </w:tcBorders>
            <w:shd w:val="clear" w:color="auto" w:fill="auto"/>
            <w:vAlign w:val="center"/>
          </w:tcPr>
          <w:p w14:paraId="4BBD8422">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6A356D3F">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C800786">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56BF08C1">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数字孪生</w:t>
            </w:r>
          </w:p>
        </w:tc>
        <w:tc>
          <w:tcPr>
            <w:tcW w:w="2317" w:type="dxa"/>
            <w:tcBorders>
              <w:top w:val="single" w:color="auto" w:sz="4" w:space="0"/>
              <w:left w:val="nil"/>
              <w:bottom w:val="single" w:color="auto" w:sz="4" w:space="0"/>
              <w:right w:val="single" w:color="auto" w:sz="4" w:space="0"/>
            </w:tcBorders>
            <w:shd w:val="clear" w:color="auto" w:fill="auto"/>
            <w:vAlign w:val="center"/>
          </w:tcPr>
          <w:p w14:paraId="1347842E">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基于数字孪生底座，通过数据汇聚与展示，打造全场景的可视可管可控的工业园区智慧管控平台，该平台可助力企业降低园区管理风险和经营成本，提升园区智能化管理能力和企业竞争能力。</w:t>
            </w:r>
          </w:p>
        </w:tc>
        <w:tc>
          <w:tcPr>
            <w:tcW w:w="4386" w:type="dxa"/>
            <w:tcBorders>
              <w:top w:val="single" w:color="auto" w:sz="4" w:space="0"/>
              <w:left w:val="nil"/>
              <w:bottom w:val="single" w:color="auto" w:sz="4" w:space="0"/>
              <w:right w:val="single" w:color="auto" w:sz="4" w:space="0"/>
            </w:tcBorders>
            <w:shd w:val="clear" w:color="auto" w:fill="auto"/>
            <w:vAlign w:val="center"/>
          </w:tcPr>
          <w:p w14:paraId="0300920F">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基于数字孪生技术，建设绿色低碳的智慧园区管理，打造集全要素可视化于一体的智慧园区运营管理平台，支撑园区日常管理、能耗管理、环境管理等，并实现人员、车辆、设备、产业管理进一步提升，以满足降本增效、智能运营、协同管理、辅助决策等业务需求</w:t>
            </w:r>
            <w:r>
              <w:rPr>
                <w:rFonts w:hint="eastAsia" w:ascii="仿宋" w:hAnsi="仿宋" w:cs="仿宋"/>
                <w:color w:val="000000"/>
                <w:kern w:val="0"/>
                <w:sz w:val="24"/>
                <w:szCs w:val="24"/>
                <w:highlight w:val="none"/>
                <w:lang w:eastAsia="zh-CN" w:bidi="ar"/>
              </w:rPr>
              <w:t>。</w:t>
            </w:r>
          </w:p>
        </w:tc>
        <w:tc>
          <w:tcPr>
            <w:tcW w:w="1556" w:type="dxa"/>
            <w:tcBorders>
              <w:top w:val="single" w:color="auto" w:sz="4" w:space="0"/>
              <w:left w:val="nil"/>
              <w:bottom w:val="single" w:color="auto" w:sz="4" w:space="0"/>
              <w:right w:val="single" w:color="auto" w:sz="4" w:space="0"/>
            </w:tcBorders>
            <w:shd w:val="clear" w:color="auto" w:fill="auto"/>
            <w:vAlign w:val="center"/>
          </w:tcPr>
          <w:p w14:paraId="4371BCFC">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3</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-20</w:t>
            </w:r>
            <w:r>
              <w:rPr>
                <w:rFonts w:hint="eastAsia" w:ascii="仿宋" w:hAnsi="仿宋" w:cs="仿宋"/>
                <w:color w:val="000000"/>
                <w:kern w:val="0"/>
                <w:sz w:val="24"/>
                <w:szCs w:val="24"/>
                <w:highlight w:val="none"/>
                <w:lang w:eastAsia="zh-CN" w:bidi="ar"/>
              </w:rPr>
              <w:t>万元</w:t>
            </w:r>
          </w:p>
        </w:tc>
        <w:tc>
          <w:tcPr>
            <w:tcW w:w="3349" w:type="dxa"/>
            <w:tcBorders>
              <w:top w:val="single" w:color="auto" w:sz="4" w:space="0"/>
              <w:left w:val="nil"/>
              <w:bottom w:val="single" w:color="auto" w:sz="4" w:space="0"/>
              <w:right w:val="single" w:color="auto" w:sz="4" w:space="0"/>
            </w:tcBorders>
            <w:shd w:val="clear" w:color="auto" w:fill="auto"/>
            <w:vAlign w:val="center"/>
          </w:tcPr>
          <w:p w14:paraId="2A4A530A">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p>
        </w:tc>
      </w:tr>
      <w:tr w14:paraId="38F7E6F3">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2A61F32">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56BE1877">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小翼数采</w:t>
            </w:r>
          </w:p>
        </w:tc>
        <w:tc>
          <w:tcPr>
            <w:tcW w:w="2317" w:type="dxa"/>
            <w:tcBorders>
              <w:top w:val="single" w:color="auto" w:sz="4" w:space="0"/>
              <w:left w:val="nil"/>
              <w:bottom w:val="single" w:color="auto" w:sz="4" w:space="0"/>
              <w:right w:val="single" w:color="auto" w:sz="4" w:space="0"/>
            </w:tcBorders>
            <w:shd w:val="clear" w:color="auto" w:fill="auto"/>
            <w:vAlign w:val="center"/>
          </w:tcPr>
          <w:p w14:paraId="2CDF6DBD">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平台以工业协议云端适配为基础，面向电子、石化、家电、装备制造、纺织、汽车等生产制造企业，基于4/5G、NB、LoRa通讯提供动态协议接入能力，实现工厂PLC、单片机、仪器仪表等设备的接入和数据采集，并对接已有MES、ERP等系统；提供设备数据采集、设备产能分析（设备稼动率/OEE分析）、设备数据安全、设备运维管理（自检、巡检、点检）、看板管理、ESOP等功能，方便用户对设备运行情况进行实时监控和设备日常运维管理。</w:t>
            </w:r>
          </w:p>
        </w:tc>
        <w:tc>
          <w:tcPr>
            <w:tcW w:w="4386" w:type="dxa"/>
            <w:tcBorders>
              <w:top w:val="single" w:color="auto" w:sz="4" w:space="0"/>
              <w:left w:val="nil"/>
              <w:bottom w:val="single" w:color="auto" w:sz="4" w:space="0"/>
              <w:right w:val="single" w:color="auto" w:sz="4" w:space="0"/>
            </w:tcBorders>
            <w:shd w:val="clear" w:color="auto" w:fill="auto"/>
            <w:vAlign w:val="center"/>
          </w:tcPr>
          <w:p w14:paraId="0EB08649">
            <w:pPr>
              <w:widowControl/>
              <w:jc w:val="left"/>
              <w:textAlignment w:val="auto"/>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等线" w:eastAsia="仿宋_GB2312" w:cs="宋体"/>
                <w:kern w:val="0"/>
                <w:sz w:val="24"/>
                <w:szCs w:val="24"/>
                <w:lang w:bidi="ar"/>
              </w:rPr>
              <w:t>实现工厂PLC设备接入、单片机设备、仪器仪表的接入和实现已有应用系统的互联互通；通过大数据汇总分析数据信息方式为厂家、消费者提供APP智能设备管理应用，方便使用者对设备运行情况进行查看与管控</w:t>
            </w:r>
            <w:r>
              <w:rPr>
                <w:rFonts w:hint="eastAsia" w:ascii="仿宋_GB2312" w:hAnsi="等线" w:eastAsia="仿宋_GB2312" w:cs="宋体"/>
                <w:kern w:val="0"/>
                <w:sz w:val="24"/>
                <w:szCs w:val="24"/>
                <w:lang w:eastAsia="zh-CN" w:bidi="ar"/>
              </w:rPr>
              <w:t>。</w:t>
            </w:r>
          </w:p>
        </w:tc>
        <w:tc>
          <w:tcPr>
            <w:tcW w:w="1556" w:type="dxa"/>
            <w:tcBorders>
              <w:top w:val="single" w:color="auto" w:sz="4" w:space="0"/>
              <w:left w:val="nil"/>
              <w:bottom w:val="single" w:color="auto" w:sz="4" w:space="0"/>
              <w:right w:val="single" w:color="auto" w:sz="4" w:space="0"/>
            </w:tcBorders>
            <w:shd w:val="clear" w:color="auto" w:fill="auto"/>
            <w:vAlign w:val="center"/>
          </w:tcPr>
          <w:p w14:paraId="36B61B61">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0</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-20</w:t>
            </w:r>
            <w:r>
              <w:rPr>
                <w:rFonts w:hint="eastAsia" w:ascii="仿宋" w:hAnsi="仿宋" w:cs="仿宋"/>
                <w:color w:val="000000"/>
                <w:kern w:val="0"/>
                <w:sz w:val="24"/>
                <w:szCs w:val="24"/>
                <w:highlight w:val="none"/>
                <w:lang w:eastAsia="zh-CN" w:bidi="ar"/>
              </w:rPr>
              <w:t>万元</w:t>
            </w:r>
          </w:p>
        </w:tc>
        <w:tc>
          <w:tcPr>
            <w:tcW w:w="3349" w:type="dxa"/>
            <w:tcBorders>
              <w:top w:val="single" w:color="auto" w:sz="4" w:space="0"/>
              <w:left w:val="nil"/>
              <w:bottom w:val="single" w:color="auto" w:sz="4" w:space="0"/>
              <w:right w:val="single" w:color="auto" w:sz="4" w:space="0"/>
            </w:tcBorders>
            <w:shd w:val="clear" w:color="auto" w:fill="auto"/>
            <w:vAlign w:val="center"/>
          </w:tcPr>
          <w:p w14:paraId="39B008D6">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794D87A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EB0FC49">
            <w:pPr>
              <w:keepNext w:val="0"/>
              <w:keepLines w:val="0"/>
              <w:widowControl/>
              <w:numPr>
                <w:ilvl w:val="-1"/>
                <w:numId w:val="0"/>
              </w:numPr>
              <w:suppressLineNumbers w:val="0"/>
              <w:ind w:left="0" w:leftChars="0" w:firstLine="0" w:firstLineChars="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1789B05E">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小翼MES</w:t>
            </w:r>
          </w:p>
        </w:tc>
        <w:tc>
          <w:tcPr>
            <w:tcW w:w="2317" w:type="dxa"/>
            <w:tcBorders>
              <w:top w:val="single" w:color="auto" w:sz="4" w:space="0"/>
              <w:left w:val="nil"/>
              <w:bottom w:val="single" w:color="auto" w:sz="4" w:space="0"/>
              <w:right w:val="single" w:color="auto" w:sz="4" w:space="0"/>
            </w:tcBorders>
            <w:shd w:val="clear" w:color="auto" w:fill="auto"/>
            <w:vAlign w:val="center"/>
          </w:tcPr>
          <w:p w14:paraId="5533CFAE">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车间计划排程、过程物料管理Lot、图纸管理、生产进度等，产品更加贴近离散制造业实际生产需求，解决生产管理痛点，可基于天翼云Saas化部署，同时满足客户个性化需求二次开发。</w:t>
            </w:r>
          </w:p>
        </w:tc>
        <w:tc>
          <w:tcPr>
            <w:tcW w:w="4386" w:type="dxa"/>
            <w:tcBorders>
              <w:top w:val="single" w:color="auto" w:sz="4" w:space="0"/>
              <w:left w:val="nil"/>
              <w:bottom w:val="single" w:color="auto" w:sz="4" w:space="0"/>
              <w:right w:val="single" w:color="auto" w:sz="4" w:space="0"/>
            </w:tcBorders>
            <w:shd w:val="clear" w:color="auto" w:fill="auto"/>
            <w:vAlign w:val="center"/>
          </w:tcPr>
          <w:p w14:paraId="1CC314EB">
            <w:pPr>
              <w:widowControl/>
              <w:jc w:val="left"/>
              <w:textAlignment w:val="auto"/>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等线" w:eastAsia="仿宋_GB2312" w:cs="宋体"/>
                <w:b w:val="0"/>
                <w:bCs w:val="0"/>
                <w:kern w:val="0"/>
                <w:sz w:val="24"/>
                <w:szCs w:val="24"/>
              </w:rPr>
              <w:t>小翼MES通过云ERP结合云MES的方式，从企业设备控制层、车间层、企业协同层等各个层面有效解决管理与车间执行割裂，无法高效联动的难题；软件+硬件的一体化服务平台，灵活组合解决不同场景下的实施需求，极大地节约部署时间与维护成本</w:t>
            </w:r>
          </w:p>
        </w:tc>
        <w:tc>
          <w:tcPr>
            <w:tcW w:w="1556" w:type="dxa"/>
            <w:tcBorders>
              <w:top w:val="single" w:color="auto" w:sz="4" w:space="0"/>
              <w:left w:val="nil"/>
              <w:bottom w:val="single" w:color="auto" w:sz="4" w:space="0"/>
              <w:right w:val="single" w:color="auto" w:sz="4" w:space="0"/>
            </w:tcBorders>
            <w:shd w:val="clear" w:color="auto" w:fill="auto"/>
            <w:vAlign w:val="center"/>
          </w:tcPr>
          <w:p w14:paraId="54A6B8C4">
            <w:pPr>
              <w:widowControl/>
              <w:ind w:right="-171" w:rightChars="-61"/>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9</w:t>
            </w:r>
            <w:r>
              <w:rPr>
                <w:rFonts w:hint="eastAsia" w:ascii="仿宋" w:hAnsi="仿宋" w:cs="仿宋"/>
                <w:color w:val="000000"/>
                <w:kern w:val="0"/>
                <w:sz w:val="24"/>
                <w:szCs w:val="24"/>
                <w:highlight w:val="none"/>
                <w:lang w:eastAsia="zh-CN" w:bidi="ar"/>
              </w:rPr>
              <w:t>万元</w:t>
            </w:r>
            <w:r>
              <w:rPr>
                <w:rFonts w:hint="eastAsia" w:ascii="仿宋_GB2312" w:hAnsi="仿宋_GB2312" w:eastAsia="仿宋_GB2312" w:cs="仿宋_GB2312"/>
                <w:b w:val="0"/>
                <w:bCs w:val="0"/>
                <w:color w:val="auto"/>
                <w:kern w:val="0"/>
                <w:sz w:val="24"/>
                <w:szCs w:val="24"/>
              </w:rPr>
              <w:t>-50</w:t>
            </w:r>
            <w:r>
              <w:rPr>
                <w:rFonts w:hint="eastAsia" w:ascii="仿宋_GB2312" w:hAnsi="仿宋_GB2312" w:eastAsia="仿宋_GB2312" w:cs="仿宋_GB2312"/>
                <w:b w:val="0"/>
                <w:bCs w:val="0"/>
                <w:color w:val="auto"/>
                <w:kern w:val="0"/>
                <w:sz w:val="24"/>
                <w:szCs w:val="24"/>
                <w:lang w:eastAsia="zh-CN"/>
              </w:rPr>
              <w:t>万元</w:t>
            </w:r>
          </w:p>
        </w:tc>
        <w:tc>
          <w:tcPr>
            <w:tcW w:w="3349" w:type="dxa"/>
            <w:tcBorders>
              <w:top w:val="single" w:color="auto" w:sz="4" w:space="0"/>
              <w:left w:val="nil"/>
              <w:bottom w:val="single" w:color="auto" w:sz="4" w:space="0"/>
              <w:right w:val="single" w:color="auto" w:sz="4" w:space="0"/>
            </w:tcBorders>
            <w:shd w:val="clear" w:color="auto" w:fill="auto"/>
            <w:vAlign w:val="center"/>
          </w:tcPr>
          <w:p w14:paraId="08F834A7">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0278C2E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9C80497">
            <w:pPr>
              <w:keepNext w:val="0"/>
              <w:keepLines w:val="0"/>
              <w:widowControl/>
              <w:numPr>
                <w:ilvl w:val="-1"/>
                <w:numId w:val="0"/>
              </w:numPr>
              <w:suppressLineNumbers w:val="0"/>
              <w:ind w:left="0" w:leftChars="0" w:firstLine="0" w:firstLineChars="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518A7436">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小翼质检</w:t>
            </w:r>
          </w:p>
        </w:tc>
        <w:tc>
          <w:tcPr>
            <w:tcW w:w="2317" w:type="dxa"/>
            <w:tcBorders>
              <w:top w:val="single" w:color="auto" w:sz="4" w:space="0"/>
              <w:left w:val="nil"/>
              <w:bottom w:val="single" w:color="auto" w:sz="4" w:space="0"/>
              <w:right w:val="single" w:color="auto" w:sz="4" w:space="0"/>
            </w:tcBorders>
            <w:shd w:val="clear" w:color="auto" w:fill="auto"/>
            <w:vAlign w:val="center"/>
          </w:tcPr>
          <w:p w14:paraId="5B344653">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小翼质检提供电机焊点线序检测、挂钩吸盘缺陷检测、布匹尺寸及缺陷检测、工程制图对比检测、标签物瑕疵监测、安全帽检测、标签文字识别等功能，助力企业生产降本增效</w:t>
            </w:r>
          </w:p>
        </w:tc>
        <w:tc>
          <w:tcPr>
            <w:tcW w:w="4386" w:type="dxa"/>
            <w:tcBorders>
              <w:top w:val="single" w:color="auto" w:sz="4" w:space="0"/>
              <w:left w:val="nil"/>
              <w:bottom w:val="single" w:color="auto" w:sz="4" w:space="0"/>
              <w:right w:val="single" w:color="auto" w:sz="4" w:space="0"/>
            </w:tcBorders>
            <w:shd w:val="clear" w:color="auto" w:fill="auto"/>
            <w:vAlign w:val="center"/>
          </w:tcPr>
          <w:p w14:paraId="63EAB826">
            <w:pPr>
              <w:widowControl/>
              <w:jc w:val="left"/>
              <w:textAlignment w:val="auto"/>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等线" w:eastAsia="仿宋_GB2312" w:cs="宋体"/>
                <w:kern w:val="0"/>
                <w:sz w:val="24"/>
                <w:szCs w:val="24"/>
                <w:lang w:bidi="ar"/>
              </w:rPr>
              <w:t>小翼质检打通数据采集、检测、标注/训练和部署环境，进行全自动生产流程管理，Al识别平面类产品(如家电、纺织、五金、造纸等行业)中的瑕疵或故障，进而大幅节省人工成本，并提高产品生产效率及精度稳定性。</w:t>
            </w:r>
          </w:p>
        </w:tc>
        <w:tc>
          <w:tcPr>
            <w:tcW w:w="1556" w:type="dxa"/>
            <w:tcBorders>
              <w:top w:val="single" w:color="auto" w:sz="4" w:space="0"/>
              <w:left w:val="nil"/>
              <w:bottom w:val="single" w:color="auto" w:sz="4" w:space="0"/>
              <w:right w:val="single" w:color="auto" w:sz="4" w:space="0"/>
            </w:tcBorders>
            <w:shd w:val="clear" w:color="auto" w:fill="auto"/>
            <w:vAlign w:val="center"/>
          </w:tcPr>
          <w:p w14:paraId="4422F100">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1</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-50</w:t>
            </w:r>
            <w:r>
              <w:rPr>
                <w:rFonts w:hint="eastAsia" w:ascii="仿宋" w:hAnsi="仿宋" w:cs="仿宋"/>
                <w:color w:val="000000"/>
                <w:kern w:val="0"/>
                <w:sz w:val="24"/>
                <w:szCs w:val="24"/>
                <w:highlight w:val="none"/>
                <w:lang w:eastAsia="zh-CN" w:bidi="ar"/>
              </w:rPr>
              <w:t>万元</w:t>
            </w:r>
          </w:p>
        </w:tc>
        <w:tc>
          <w:tcPr>
            <w:tcW w:w="3349" w:type="dxa"/>
            <w:tcBorders>
              <w:top w:val="single" w:color="auto" w:sz="4" w:space="0"/>
              <w:left w:val="nil"/>
              <w:bottom w:val="single" w:color="auto" w:sz="4" w:space="0"/>
              <w:right w:val="single" w:color="auto" w:sz="4" w:space="0"/>
            </w:tcBorders>
            <w:shd w:val="clear" w:color="auto" w:fill="auto"/>
            <w:vAlign w:val="center"/>
          </w:tcPr>
          <w:p w14:paraId="4332E50D">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p>
        </w:tc>
      </w:tr>
      <w:tr w14:paraId="4329355F">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BD08E3B">
            <w:pPr>
              <w:keepNext w:val="0"/>
              <w:keepLines w:val="0"/>
              <w:widowControl/>
              <w:numPr>
                <w:ilvl w:val="-1"/>
                <w:numId w:val="0"/>
              </w:numPr>
              <w:suppressLineNumbers w:val="0"/>
              <w:ind w:left="0" w:leftChars="0" w:firstLine="0" w:firstLineChars="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56CB70B">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小翼监控</w:t>
            </w:r>
          </w:p>
        </w:tc>
        <w:tc>
          <w:tcPr>
            <w:tcW w:w="2317" w:type="dxa"/>
            <w:tcBorders>
              <w:top w:val="single" w:color="auto" w:sz="4" w:space="0"/>
              <w:left w:val="nil"/>
              <w:bottom w:val="single" w:color="auto" w:sz="4" w:space="0"/>
              <w:right w:val="single" w:color="auto" w:sz="4" w:space="0"/>
            </w:tcBorders>
            <w:shd w:val="clear" w:color="auto" w:fill="auto"/>
            <w:vAlign w:val="center"/>
          </w:tcPr>
          <w:p w14:paraId="14F7BADA">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围绕仓库管理、工厂外部车辆识别、事前防范和事后取证等园区安防三大常见问题，小翼监控平台通过视频监控 + AI智能分析，由外至内、全视角、全天候、全面监控工厂安全态势，主动识别风险，做到事前有效防范，事中有效控制，事后有效取证，在有效降低管理人员成本的同时，最大限度地降低误报和漏报现象，为工厂安全构筑有效屏障。</w:t>
            </w:r>
          </w:p>
        </w:tc>
        <w:tc>
          <w:tcPr>
            <w:tcW w:w="4386" w:type="dxa"/>
            <w:tcBorders>
              <w:top w:val="single" w:color="auto" w:sz="4" w:space="0"/>
              <w:left w:val="nil"/>
              <w:bottom w:val="single" w:color="auto" w:sz="4" w:space="0"/>
              <w:right w:val="single" w:color="auto" w:sz="4" w:space="0"/>
            </w:tcBorders>
            <w:shd w:val="clear" w:color="auto" w:fill="auto"/>
            <w:vAlign w:val="center"/>
          </w:tcPr>
          <w:p w14:paraId="61072424">
            <w:pPr>
              <w:widowControl/>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kern w:val="0"/>
                <w:sz w:val="24"/>
                <w:szCs w:val="24"/>
                <w:lang w:bidi="ar"/>
              </w:rPr>
              <w:t>面向工业行业监管场景化应用，以视频监控+AI应用为核心功能的大联网、小智能、轻应用、微方案视频应用平台</w:t>
            </w:r>
            <w:r>
              <w:rPr>
                <w:rFonts w:hint="eastAsia" w:ascii="仿宋_GB2312" w:hAnsi="等线" w:eastAsia="仿宋_GB2312" w:cs="宋体"/>
                <w:kern w:val="0"/>
                <w:sz w:val="24"/>
                <w:szCs w:val="24"/>
                <w:lang w:eastAsia="zh-CN" w:bidi="ar"/>
              </w:rPr>
              <w:t>。</w:t>
            </w:r>
          </w:p>
        </w:tc>
        <w:tc>
          <w:tcPr>
            <w:tcW w:w="1556" w:type="dxa"/>
            <w:tcBorders>
              <w:top w:val="single" w:color="auto" w:sz="4" w:space="0"/>
              <w:left w:val="nil"/>
              <w:bottom w:val="single" w:color="auto" w:sz="4" w:space="0"/>
              <w:right w:val="single" w:color="auto" w:sz="4" w:space="0"/>
            </w:tcBorders>
            <w:shd w:val="clear" w:color="auto" w:fill="auto"/>
            <w:vAlign w:val="center"/>
          </w:tcPr>
          <w:p w14:paraId="5EABE0F3">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1</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-10</w:t>
            </w:r>
            <w:r>
              <w:rPr>
                <w:rFonts w:hint="eastAsia" w:ascii="仿宋" w:hAnsi="仿宋" w:cs="仿宋"/>
                <w:color w:val="000000"/>
                <w:kern w:val="0"/>
                <w:sz w:val="24"/>
                <w:szCs w:val="24"/>
                <w:highlight w:val="none"/>
                <w:lang w:eastAsia="zh-CN" w:bidi="ar"/>
              </w:rPr>
              <w:t>万元</w:t>
            </w:r>
          </w:p>
        </w:tc>
        <w:tc>
          <w:tcPr>
            <w:tcW w:w="3349" w:type="dxa"/>
            <w:tcBorders>
              <w:top w:val="single" w:color="auto" w:sz="4" w:space="0"/>
              <w:left w:val="nil"/>
              <w:bottom w:val="single" w:color="auto" w:sz="4" w:space="0"/>
              <w:right w:val="single" w:color="auto" w:sz="4" w:space="0"/>
            </w:tcBorders>
            <w:shd w:val="clear" w:color="auto" w:fill="auto"/>
            <w:vAlign w:val="center"/>
          </w:tcPr>
          <w:p w14:paraId="76A4B681">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1ED07285">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50563B7">
            <w:pPr>
              <w:keepNext w:val="0"/>
              <w:keepLines w:val="0"/>
              <w:widowControl/>
              <w:numPr>
                <w:ilvl w:val="-1"/>
                <w:numId w:val="0"/>
              </w:numPr>
              <w:suppressLineNumbers w:val="0"/>
              <w:ind w:left="0" w:leftChars="0" w:firstLine="0" w:firstLineChars="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13</w:t>
            </w:r>
          </w:p>
        </w:tc>
        <w:tc>
          <w:tcPr>
            <w:tcW w:w="1511" w:type="dxa"/>
            <w:tcBorders>
              <w:top w:val="single" w:color="auto" w:sz="4" w:space="0"/>
              <w:left w:val="nil"/>
              <w:bottom w:val="single" w:color="auto" w:sz="4" w:space="0"/>
              <w:right w:val="single" w:color="auto" w:sz="4" w:space="0"/>
            </w:tcBorders>
            <w:shd w:val="clear" w:color="auto" w:fill="auto"/>
            <w:vAlign w:val="center"/>
          </w:tcPr>
          <w:p w14:paraId="3840CBFE">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小翼安全</w:t>
            </w:r>
          </w:p>
        </w:tc>
        <w:tc>
          <w:tcPr>
            <w:tcW w:w="2317" w:type="dxa"/>
            <w:tcBorders>
              <w:top w:val="single" w:color="auto" w:sz="4" w:space="0"/>
              <w:left w:val="nil"/>
              <w:bottom w:val="single" w:color="auto" w:sz="4" w:space="0"/>
              <w:right w:val="single" w:color="auto" w:sz="4" w:space="0"/>
            </w:tcBorders>
            <w:shd w:val="clear" w:color="auto" w:fill="auto"/>
            <w:vAlign w:val="center"/>
          </w:tcPr>
          <w:p w14:paraId="291CB42A">
            <w:pPr>
              <w:widowControl/>
              <w:ind w:right="-95" w:rightChars="-34"/>
              <w:jc w:val="left"/>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对危险源进行基础信息管理，风险管控等级以及风险管控方案。</w:t>
            </w:r>
          </w:p>
          <w:p w14:paraId="453D6857">
            <w:pPr>
              <w:widowControl/>
              <w:ind w:right="-95" w:rightChars="-34"/>
              <w:jc w:val="left"/>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对隐患进行管理，通过计划、任务、治理、验收等完整隐患闭环流程。</w:t>
            </w:r>
          </w:p>
          <w:p w14:paraId="01EBBDFA">
            <w:pPr>
              <w:widowControl/>
              <w:ind w:right="-95" w:rightChars="-34"/>
              <w:jc w:val="left"/>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对八大危险作业从业人员证书、审批、过程管理、实时监控等维度进行全过程数字化管理。</w:t>
            </w:r>
          </w:p>
          <w:p w14:paraId="53C8EE38">
            <w:pPr>
              <w:widowControl/>
              <w:ind w:right="-95" w:rightChars="-34"/>
              <w:jc w:val="left"/>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提高企业对人员安全能力和素质培养的同时，满足各类监管要求。</w:t>
            </w:r>
          </w:p>
          <w:p w14:paraId="4410B8A2">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根据企业安全管理需求存储知识、应急预案等，自定义各类培训知识。</w:t>
            </w:r>
          </w:p>
        </w:tc>
        <w:tc>
          <w:tcPr>
            <w:tcW w:w="4386" w:type="dxa"/>
            <w:tcBorders>
              <w:top w:val="single" w:color="auto" w:sz="4" w:space="0"/>
              <w:left w:val="nil"/>
              <w:bottom w:val="single" w:color="auto" w:sz="4" w:space="0"/>
              <w:right w:val="single" w:color="auto" w:sz="4" w:space="0"/>
            </w:tcBorders>
            <w:shd w:val="clear" w:color="auto" w:fill="auto"/>
            <w:vAlign w:val="center"/>
          </w:tcPr>
          <w:p w14:paraId="09741FC1">
            <w:pPr>
              <w:widowControl/>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kern w:val="0"/>
                <w:sz w:val="24"/>
                <w:szCs w:val="24"/>
                <w:lang w:bidi="ar"/>
              </w:rPr>
              <w:t>中国电信安全生产管理产品通过数字化、模块化和工具化的安全生产管理移动应用，解决企业风险最高的两大安全生产管理问题，降低安全管理工作强度，提高管理效率。</w:t>
            </w:r>
          </w:p>
        </w:tc>
        <w:tc>
          <w:tcPr>
            <w:tcW w:w="1556" w:type="dxa"/>
            <w:tcBorders>
              <w:top w:val="single" w:color="auto" w:sz="4" w:space="0"/>
              <w:left w:val="nil"/>
              <w:bottom w:val="single" w:color="auto" w:sz="4" w:space="0"/>
              <w:right w:val="single" w:color="auto" w:sz="4" w:space="0"/>
            </w:tcBorders>
            <w:shd w:val="clear" w:color="auto" w:fill="auto"/>
            <w:vAlign w:val="center"/>
          </w:tcPr>
          <w:p w14:paraId="66DB29E1">
            <w:pPr>
              <w:widowControl/>
              <w:ind w:right="-64" w:rightChars="-23"/>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标准平台10万元。其他硬件集成根据实际场景进行设计定价</w:t>
            </w:r>
          </w:p>
        </w:tc>
        <w:tc>
          <w:tcPr>
            <w:tcW w:w="3349" w:type="dxa"/>
            <w:tcBorders>
              <w:top w:val="single" w:color="auto" w:sz="4" w:space="0"/>
              <w:left w:val="nil"/>
              <w:bottom w:val="single" w:color="auto" w:sz="4" w:space="0"/>
              <w:right w:val="single" w:color="auto" w:sz="4" w:space="0"/>
            </w:tcBorders>
            <w:shd w:val="clear" w:color="auto" w:fill="auto"/>
            <w:vAlign w:val="center"/>
          </w:tcPr>
          <w:p w14:paraId="447246AD">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14ECA2D8">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AB26056">
            <w:pPr>
              <w:keepNext w:val="0"/>
              <w:keepLines w:val="0"/>
              <w:widowControl/>
              <w:numPr>
                <w:ilvl w:val="-1"/>
                <w:numId w:val="0"/>
              </w:numPr>
              <w:suppressLineNumbers w:val="0"/>
              <w:ind w:left="0" w:leftChars="0" w:firstLine="0" w:firstLineChars="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14</w:t>
            </w:r>
          </w:p>
        </w:tc>
        <w:tc>
          <w:tcPr>
            <w:tcW w:w="1511" w:type="dxa"/>
            <w:tcBorders>
              <w:top w:val="single" w:color="auto" w:sz="4" w:space="0"/>
              <w:left w:val="nil"/>
              <w:bottom w:val="single" w:color="auto" w:sz="4" w:space="0"/>
              <w:right w:val="single" w:color="auto" w:sz="4" w:space="0"/>
            </w:tcBorders>
            <w:shd w:val="clear" w:color="auto" w:fill="auto"/>
            <w:vAlign w:val="center"/>
          </w:tcPr>
          <w:p w14:paraId="2484128E">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rPr>
              <w:t>综能管理系统（能耗云）</w:t>
            </w:r>
          </w:p>
        </w:tc>
        <w:tc>
          <w:tcPr>
            <w:tcW w:w="2317" w:type="dxa"/>
            <w:tcBorders>
              <w:top w:val="single" w:color="auto" w:sz="4" w:space="0"/>
              <w:left w:val="nil"/>
              <w:bottom w:val="single" w:color="auto" w:sz="4" w:space="0"/>
              <w:right w:val="single" w:color="auto" w:sz="4" w:space="0"/>
            </w:tcBorders>
            <w:shd w:val="clear" w:color="auto" w:fill="auto"/>
            <w:vAlign w:val="center"/>
          </w:tcPr>
          <w:p w14:paraId="383468F8">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lang w:bidi="ar"/>
              </w:rPr>
              <w:t>包括能耗驾驶舱、能源数据可视化展示精细管理、能源流向可视化展示、多场景、全方位监控设备运行环境、电力设备状态监测防控、实现远程智能化巡检、辅助碳交易管理等功能</w:t>
            </w:r>
          </w:p>
        </w:tc>
        <w:tc>
          <w:tcPr>
            <w:tcW w:w="4386" w:type="dxa"/>
            <w:tcBorders>
              <w:top w:val="single" w:color="auto" w:sz="4" w:space="0"/>
              <w:left w:val="nil"/>
              <w:bottom w:val="single" w:color="auto" w:sz="4" w:space="0"/>
              <w:right w:val="single" w:color="auto" w:sz="4" w:space="0"/>
            </w:tcBorders>
            <w:shd w:val="clear" w:color="auto" w:fill="auto"/>
            <w:vAlign w:val="center"/>
          </w:tcPr>
          <w:p w14:paraId="1879EED6">
            <w:pPr>
              <w:widowControl/>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kern w:val="0"/>
                <w:sz w:val="24"/>
                <w:szCs w:val="24"/>
                <w:lang w:bidi="ar"/>
              </w:rPr>
              <w:t>结合国家三级能源系统指标要求，实现对企业工厂级（标准版）、线体级（综合版）、设备级（定制版）三种维度能源监管能力覆盖，同时支持多级子企业联动监测，结合能耗模型算法与分析能力，帮助企业实现工艺及设备参数调优、节能侧订单生产排程优化、能源损漏管理等赋能提升，助力企业实现节能增效。</w:t>
            </w:r>
          </w:p>
        </w:tc>
        <w:tc>
          <w:tcPr>
            <w:tcW w:w="1556" w:type="dxa"/>
            <w:tcBorders>
              <w:top w:val="single" w:color="auto" w:sz="4" w:space="0"/>
              <w:left w:val="nil"/>
              <w:bottom w:val="single" w:color="auto" w:sz="4" w:space="0"/>
              <w:right w:val="single" w:color="auto" w:sz="4" w:space="0"/>
            </w:tcBorders>
            <w:shd w:val="clear" w:color="auto" w:fill="auto"/>
            <w:vAlign w:val="center"/>
          </w:tcPr>
          <w:p w14:paraId="7D6253C5">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20</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-50</w:t>
            </w:r>
            <w:r>
              <w:rPr>
                <w:rFonts w:hint="eastAsia" w:ascii="仿宋" w:hAnsi="仿宋" w:cs="仿宋"/>
                <w:color w:val="000000"/>
                <w:kern w:val="0"/>
                <w:sz w:val="24"/>
                <w:szCs w:val="24"/>
                <w:highlight w:val="none"/>
                <w:lang w:eastAsia="zh-CN" w:bidi="ar"/>
              </w:rPr>
              <w:t>万元</w:t>
            </w:r>
          </w:p>
        </w:tc>
        <w:tc>
          <w:tcPr>
            <w:tcW w:w="3349" w:type="dxa"/>
            <w:tcBorders>
              <w:top w:val="single" w:color="auto" w:sz="4" w:space="0"/>
              <w:left w:val="nil"/>
              <w:bottom w:val="single" w:color="auto" w:sz="4" w:space="0"/>
              <w:right w:val="single" w:color="auto" w:sz="4" w:space="0"/>
            </w:tcBorders>
            <w:shd w:val="clear" w:color="auto" w:fill="auto"/>
            <w:vAlign w:val="center"/>
          </w:tcPr>
          <w:p w14:paraId="50F0E3C5">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552A89BA">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49B1989">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i w:val="0"/>
                <w:iCs w:val="0"/>
                <w:color w:val="auto"/>
                <w:kern w:val="0"/>
                <w:sz w:val="24"/>
                <w:szCs w:val="24"/>
                <w:u w:val="none"/>
                <w:lang w:val="en-US" w:eastAsia="zh-CN" w:bidi="ar"/>
              </w:rPr>
              <w:t>15</w:t>
            </w:r>
          </w:p>
        </w:tc>
        <w:tc>
          <w:tcPr>
            <w:tcW w:w="1511" w:type="dxa"/>
            <w:tcBorders>
              <w:top w:val="single" w:color="auto" w:sz="4" w:space="0"/>
              <w:left w:val="nil"/>
              <w:bottom w:val="single" w:color="auto" w:sz="4" w:space="0"/>
              <w:right w:val="single" w:color="auto" w:sz="4" w:space="0"/>
            </w:tcBorders>
            <w:shd w:val="clear" w:color="auto" w:fill="auto"/>
            <w:vAlign w:val="center"/>
          </w:tcPr>
          <w:p w14:paraId="6F25BDB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星海智文</w:t>
            </w:r>
          </w:p>
        </w:tc>
        <w:tc>
          <w:tcPr>
            <w:tcW w:w="2317" w:type="dxa"/>
            <w:tcBorders>
              <w:top w:val="single" w:color="auto" w:sz="4" w:space="0"/>
              <w:left w:val="nil"/>
              <w:bottom w:val="single" w:color="auto" w:sz="4" w:space="0"/>
              <w:right w:val="single" w:color="auto" w:sz="4" w:space="0"/>
            </w:tcBorders>
            <w:shd w:val="clear" w:color="auto" w:fill="auto"/>
            <w:vAlign w:val="center"/>
          </w:tcPr>
          <w:p w14:paraId="7F20ECEF">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5F855A01">
            <w:pPr>
              <w:keepNext w:val="0"/>
              <w:keepLines w:val="0"/>
              <w:widowControl/>
              <w:suppressLineNumbers w:val="0"/>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b w:val="0"/>
                <w:bCs w:val="0"/>
                <w:kern w:val="0"/>
                <w:sz w:val="24"/>
                <w:szCs w:val="24"/>
              </w:rPr>
              <w:t>上传企业文档、政策文件、法律法规等文件，利用大模型建设企业知识库，用户通过对话方式检索知识、智能问答、文档摘要、文章写作等</w:t>
            </w:r>
          </w:p>
        </w:tc>
        <w:tc>
          <w:tcPr>
            <w:tcW w:w="1556" w:type="dxa"/>
            <w:tcBorders>
              <w:top w:val="single" w:color="auto" w:sz="4" w:space="0"/>
              <w:left w:val="nil"/>
              <w:bottom w:val="single" w:color="auto" w:sz="4" w:space="0"/>
              <w:right w:val="single" w:color="auto" w:sz="4" w:space="0"/>
            </w:tcBorders>
            <w:shd w:val="clear" w:color="auto" w:fill="auto"/>
            <w:vAlign w:val="center"/>
          </w:tcPr>
          <w:p w14:paraId="4FDB4FD2">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5</w:t>
            </w:r>
            <w:r>
              <w:rPr>
                <w:rFonts w:hint="eastAsia" w:ascii="仿宋" w:hAnsi="仿宋" w:cs="仿宋"/>
                <w:color w:val="000000"/>
                <w:kern w:val="0"/>
                <w:sz w:val="24"/>
                <w:szCs w:val="24"/>
                <w:highlight w:val="none"/>
                <w:lang w:eastAsia="zh-CN" w:bidi="ar"/>
              </w:rPr>
              <w:t>万元</w:t>
            </w:r>
            <w:r>
              <w:rPr>
                <w:rFonts w:hint="eastAsia" w:ascii="仿宋_GB2312" w:hAnsi="仿宋_GB2312" w:eastAsia="仿宋_GB2312" w:cs="仿宋_GB2312"/>
                <w:b w:val="0"/>
                <w:bCs w:val="0"/>
                <w:color w:val="auto"/>
                <w:kern w:val="0"/>
                <w:sz w:val="24"/>
                <w:szCs w:val="24"/>
              </w:rPr>
              <w:t>-100</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/套</w:t>
            </w:r>
          </w:p>
        </w:tc>
        <w:tc>
          <w:tcPr>
            <w:tcW w:w="3349" w:type="dxa"/>
            <w:tcBorders>
              <w:top w:val="single" w:color="auto" w:sz="4" w:space="0"/>
              <w:left w:val="nil"/>
              <w:bottom w:val="single" w:color="auto" w:sz="4" w:space="0"/>
              <w:right w:val="single" w:color="auto" w:sz="4" w:space="0"/>
            </w:tcBorders>
            <w:shd w:val="clear" w:color="auto" w:fill="auto"/>
            <w:vAlign w:val="center"/>
          </w:tcPr>
          <w:p w14:paraId="2C8147FD">
            <w:pPr>
              <w:jc w:val="left"/>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2AFA0EC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D3FE5C9">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16</w:t>
            </w:r>
          </w:p>
        </w:tc>
        <w:tc>
          <w:tcPr>
            <w:tcW w:w="1511" w:type="dxa"/>
            <w:tcBorders>
              <w:top w:val="single" w:color="auto" w:sz="4" w:space="0"/>
              <w:left w:val="nil"/>
              <w:bottom w:val="single" w:color="auto" w:sz="4" w:space="0"/>
              <w:right w:val="single" w:color="auto" w:sz="4" w:space="0"/>
            </w:tcBorders>
            <w:shd w:val="clear" w:color="auto" w:fill="auto"/>
            <w:vAlign w:val="center"/>
          </w:tcPr>
          <w:p w14:paraId="3D5A9110">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智能商业数据分析TeleBI</w:t>
            </w:r>
          </w:p>
        </w:tc>
        <w:tc>
          <w:tcPr>
            <w:tcW w:w="2317" w:type="dxa"/>
            <w:tcBorders>
              <w:top w:val="single" w:color="auto" w:sz="4" w:space="0"/>
              <w:left w:val="nil"/>
              <w:bottom w:val="single" w:color="auto" w:sz="4" w:space="0"/>
              <w:right w:val="single" w:color="auto" w:sz="4" w:space="0"/>
            </w:tcBorders>
            <w:shd w:val="clear" w:color="auto" w:fill="auto"/>
            <w:vAlign w:val="center"/>
          </w:tcPr>
          <w:p w14:paraId="7D5B4C4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601BA38A">
            <w:pPr>
              <w:keepNext w:val="0"/>
              <w:keepLines w:val="0"/>
              <w:widowControl/>
              <w:suppressLineNumbers w:val="0"/>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b w:val="0"/>
                <w:bCs w:val="0"/>
                <w:kern w:val="0"/>
                <w:sz w:val="24"/>
                <w:szCs w:val="24"/>
              </w:rPr>
              <w:t>融合AI大模型和自然语言处理技术，无需专业技能，通过日常对话即可快速获取数据，即时自动生成可视化图表、深度洞察、智能报告等，助力企业快速挖掘数据价值，提升业务效能。</w:t>
            </w:r>
          </w:p>
        </w:tc>
        <w:tc>
          <w:tcPr>
            <w:tcW w:w="1556" w:type="dxa"/>
            <w:tcBorders>
              <w:top w:val="single" w:color="auto" w:sz="4" w:space="0"/>
              <w:left w:val="nil"/>
              <w:bottom w:val="single" w:color="auto" w:sz="4" w:space="0"/>
              <w:right w:val="single" w:color="auto" w:sz="4" w:space="0"/>
            </w:tcBorders>
            <w:shd w:val="clear" w:color="auto" w:fill="auto"/>
            <w:vAlign w:val="center"/>
          </w:tcPr>
          <w:p w14:paraId="77F8E3F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highlight w:val="none"/>
              </w:rPr>
              <w:t>10</w:t>
            </w:r>
            <w:r>
              <w:rPr>
                <w:rFonts w:hint="eastAsia" w:ascii="仿宋" w:hAnsi="仿宋" w:cs="仿宋"/>
                <w:color w:val="000000"/>
                <w:kern w:val="0"/>
                <w:sz w:val="24"/>
                <w:szCs w:val="24"/>
                <w:highlight w:val="none"/>
                <w:lang w:eastAsia="zh-CN" w:bidi="ar"/>
              </w:rPr>
              <w:t>万元</w:t>
            </w:r>
            <w:r>
              <w:rPr>
                <w:rFonts w:hint="eastAsia" w:ascii="仿宋_GB2312" w:hAnsi="仿宋_GB2312" w:eastAsia="仿宋_GB2312" w:cs="仿宋_GB2312"/>
                <w:b w:val="0"/>
                <w:bCs w:val="0"/>
                <w:color w:val="auto"/>
                <w:kern w:val="0"/>
                <w:sz w:val="24"/>
                <w:szCs w:val="24"/>
                <w:highlight w:val="none"/>
              </w:rPr>
              <w:t>-200</w:t>
            </w:r>
            <w:r>
              <w:rPr>
                <w:rFonts w:hint="eastAsia" w:ascii="仿宋_GB2312" w:hAnsi="仿宋_GB2312" w:eastAsia="仿宋_GB2312" w:cs="仿宋_GB2312"/>
                <w:b w:val="0"/>
                <w:bCs w:val="0"/>
                <w:color w:val="auto"/>
                <w:kern w:val="0"/>
                <w:sz w:val="24"/>
                <w:szCs w:val="24"/>
                <w:highlight w:val="none"/>
                <w:lang w:eastAsia="zh-CN"/>
              </w:rPr>
              <w:t>万元</w:t>
            </w:r>
            <w:r>
              <w:rPr>
                <w:rFonts w:hint="eastAsia" w:ascii="仿宋_GB2312" w:hAnsi="仿宋_GB2312" w:eastAsia="仿宋_GB2312" w:cs="仿宋_GB2312"/>
                <w:b w:val="0"/>
                <w:bCs w:val="0"/>
                <w:color w:val="auto"/>
                <w:kern w:val="0"/>
                <w:sz w:val="24"/>
                <w:szCs w:val="24"/>
                <w:highlight w:val="none"/>
              </w:rPr>
              <w:t>/套</w:t>
            </w:r>
          </w:p>
        </w:tc>
        <w:tc>
          <w:tcPr>
            <w:tcW w:w="3349" w:type="dxa"/>
            <w:tcBorders>
              <w:top w:val="single" w:color="auto" w:sz="4" w:space="0"/>
              <w:left w:val="nil"/>
              <w:bottom w:val="single" w:color="auto" w:sz="4" w:space="0"/>
              <w:right w:val="single" w:color="auto" w:sz="4" w:space="0"/>
            </w:tcBorders>
            <w:shd w:val="clear" w:color="auto" w:fill="auto"/>
            <w:vAlign w:val="center"/>
          </w:tcPr>
          <w:p w14:paraId="4673EAC0">
            <w:pPr>
              <w:jc w:val="left"/>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7E6AEF6A">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58FFA60">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17</w:t>
            </w:r>
          </w:p>
        </w:tc>
        <w:tc>
          <w:tcPr>
            <w:tcW w:w="1511" w:type="dxa"/>
            <w:tcBorders>
              <w:top w:val="single" w:color="auto" w:sz="4" w:space="0"/>
              <w:left w:val="nil"/>
              <w:bottom w:val="single" w:color="auto" w:sz="4" w:space="0"/>
              <w:right w:val="single" w:color="auto" w:sz="4" w:space="0"/>
            </w:tcBorders>
            <w:shd w:val="clear" w:color="auto" w:fill="auto"/>
            <w:vAlign w:val="center"/>
          </w:tcPr>
          <w:p w14:paraId="6D6CDC5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智能体开发运营平台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151E6BD3">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5CB41968">
            <w:pPr>
              <w:keepNext w:val="0"/>
              <w:keepLines w:val="0"/>
              <w:widowControl/>
              <w:suppressLineNumbers w:val="0"/>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b w:val="0"/>
                <w:bCs w:val="0"/>
                <w:kern w:val="0"/>
                <w:sz w:val="24"/>
                <w:szCs w:val="24"/>
              </w:rPr>
              <w:t>打造新一代云原生多模态、融大模型的对话机器人能力平台，内置多种对话能力，开箱即用，快速上线；满足行业需求和自定义场景，为企业定制专业、稳定的对话系统提供全方位支持。</w:t>
            </w:r>
          </w:p>
        </w:tc>
        <w:tc>
          <w:tcPr>
            <w:tcW w:w="1556" w:type="dxa"/>
            <w:tcBorders>
              <w:top w:val="single" w:color="auto" w:sz="4" w:space="0"/>
              <w:left w:val="nil"/>
              <w:bottom w:val="single" w:color="auto" w:sz="4" w:space="0"/>
              <w:right w:val="single" w:color="auto" w:sz="4" w:space="0"/>
            </w:tcBorders>
            <w:shd w:val="clear" w:color="auto" w:fill="auto"/>
            <w:vAlign w:val="center"/>
          </w:tcPr>
          <w:p w14:paraId="1F49B1D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10</w:t>
            </w:r>
            <w:r>
              <w:rPr>
                <w:rFonts w:hint="eastAsia" w:ascii="仿宋" w:hAnsi="仿宋" w:cs="仿宋"/>
                <w:color w:val="000000"/>
                <w:kern w:val="0"/>
                <w:sz w:val="24"/>
                <w:szCs w:val="24"/>
                <w:highlight w:val="none"/>
                <w:lang w:eastAsia="zh-CN" w:bidi="ar"/>
              </w:rPr>
              <w:t>万元</w:t>
            </w:r>
            <w:r>
              <w:rPr>
                <w:rFonts w:hint="eastAsia" w:ascii="仿宋_GB2312" w:hAnsi="仿宋_GB2312" w:eastAsia="仿宋_GB2312" w:cs="仿宋_GB2312"/>
                <w:b w:val="0"/>
                <w:bCs w:val="0"/>
                <w:color w:val="auto"/>
                <w:kern w:val="0"/>
                <w:sz w:val="24"/>
                <w:szCs w:val="24"/>
              </w:rPr>
              <w:t>-100</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/套</w:t>
            </w:r>
          </w:p>
        </w:tc>
        <w:tc>
          <w:tcPr>
            <w:tcW w:w="3349" w:type="dxa"/>
            <w:tcBorders>
              <w:top w:val="single" w:color="auto" w:sz="4" w:space="0"/>
              <w:left w:val="nil"/>
              <w:bottom w:val="single" w:color="auto" w:sz="4" w:space="0"/>
              <w:right w:val="single" w:color="auto" w:sz="4" w:space="0"/>
            </w:tcBorders>
            <w:shd w:val="clear" w:color="auto" w:fill="auto"/>
            <w:vAlign w:val="center"/>
          </w:tcPr>
          <w:p w14:paraId="074F7006">
            <w:pPr>
              <w:jc w:val="left"/>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415D4A7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0E6CE25">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18</w:t>
            </w:r>
          </w:p>
        </w:tc>
        <w:tc>
          <w:tcPr>
            <w:tcW w:w="1511" w:type="dxa"/>
            <w:tcBorders>
              <w:top w:val="single" w:color="auto" w:sz="4" w:space="0"/>
              <w:left w:val="nil"/>
              <w:bottom w:val="single" w:color="auto" w:sz="4" w:space="0"/>
              <w:right w:val="single" w:color="auto" w:sz="4" w:space="0"/>
            </w:tcBorders>
            <w:shd w:val="clear" w:color="auto" w:fill="auto"/>
            <w:vAlign w:val="center"/>
          </w:tcPr>
          <w:p w14:paraId="530F75B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最小应急单元应用平台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1257F8EA">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631F2FA4">
            <w:pPr>
              <w:keepNext w:val="0"/>
              <w:keepLines w:val="0"/>
              <w:widowControl/>
              <w:suppressLineNumbers w:val="0"/>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b w:val="0"/>
                <w:bCs w:val="0"/>
                <w:kern w:val="0"/>
                <w:sz w:val="24"/>
                <w:szCs w:val="24"/>
              </w:rPr>
              <w:t>通过AI智能化手段并将突发事件 (打架斗殴、持刀持械)制止在萌芽状态，防止恶性事件发生，降低案发率和违规行为。</w:t>
            </w:r>
          </w:p>
        </w:tc>
        <w:tc>
          <w:tcPr>
            <w:tcW w:w="1556" w:type="dxa"/>
            <w:tcBorders>
              <w:top w:val="single" w:color="auto" w:sz="4" w:space="0"/>
              <w:left w:val="nil"/>
              <w:bottom w:val="single" w:color="auto" w:sz="4" w:space="0"/>
              <w:right w:val="single" w:color="auto" w:sz="4" w:space="0"/>
            </w:tcBorders>
            <w:shd w:val="clear" w:color="auto" w:fill="auto"/>
            <w:vAlign w:val="center"/>
          </w:tcPr>
          <w:p w14:paraId="182520D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1</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500</w:t>
            </w:r>
            <w:r>
              <w:rPr>
                <w:rFonts w:hint="eastAsia" w:ascii="仿宋_GB2312" w:hAnsi="仿宋_GB2312" w:eastAsia="仿宋_GB2312" w:cs="仿宋_GB2312"/>
                <w:b w:val="0"/>
                <w:bCs w:val="0"/>
                <w:color w:val="auto"/>
                <w:kern w:val="0"/>
                <w:sz w:val="24"/>
                <w:szCs w:val="24"/>
                <w:lang w:eastAsia="zh-CN"/>
              </w:rPr>
              <w:t>万元</w:t>
            </w:r>
          </w:p>
        </w:tc>
        <w:tc>
          <w:tcPr>
            <w:tcW w:w="3349" w:type="dxa"/>
            <w:tcBorders>
              <w:top w:val="single" w:color="auto" w:sz="4" w:space="0"/>
              <w:left w:val="nil"/>
              <w:bottom w:val="single" w:color="auto" w:sz="4" w:space="0"/>
              <w:right w:val="single" w:color="auto" w:sz="4" w:space="0"/>
            </w:tcBorders>
            <w:shd w:val="clear" w:color="auto" w:fill="auto"/>
            <w:vAlign w:val="center"/>
          </w:tcPr>
          <w:p w14:paraId="39150F99">
            <w:pPr>
              <w:jc w:val="left"/>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1C120F2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C6E0B1E">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19</w:t>
            </w:r>
          </w:p>
        </w:tc>
        <w:tc>
          <w:tcPr>
            <w:tcW w:w="1511" w:type="dxa"/>
            <w:tcBorders>
              <w:top w:val="single" w:color="auto" w:sz="4" w:space="0"/>
              <w:left w:val="nil"/>
              <w:bottom w:val="single" w:color="auto" w:sz="4" w:space="0"/>
              <w:right w:val="single" w:color="auto" w:sz="4" w:space="0"/>
            </w:tcBorders>
            <w:shd w:val="clear" w:color="auto" w:fill="auto"/>
            <w:vAlign w:val="center"/>
          </w:tcPr>
          <w:p w14:paraId="4F610D7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000000" w:themeColor="text1"/>
                <w:kern w:val="0"/>
                <w:sz w:val="24"/>
                <w:szCs w:val="24"/>
                <w14:textFill>
                  <w14:solidFill>
                    <w14:schemeClr w14:val="tx1"/>
                  </w14:solidFill>
                </w14:textFill>
              </w:rPr>
              <w:t>视联</w:t>
            </w:r>
            <w:r>
              <w:rPr>
                <w:rFonts w:hint="eastAsia" w:ascii="仿宋_GB2312" w:hAnsi="仿宋_GB2312" w:eastAsia="仿宋_GB2312" w:cs="仿宋_GB2312"/>
                <w:b w:val="0"/>
                <w:bCs w:val="0"/>
                <w:color w:val="000000" w:themeColor="text1"/>
                <w:kern w:val="0"/>
                <w:sz w:val="24"/>
                <w:szCs w:val="24"/>
                <w:lang w:eastAsia="zh-CN"/>
                <w14:textFill>
                  <w14:solidFill>
                    <w14:schemeClr w14:val="tx1"/>
                  </w14:solidFill>
                </w14:textFill>
              </w:rPr>
              <w:t>智网平台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140F9EB2">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1315E308">
            <w:pPr>
              <w:keepNext w:val="0"/>
              <w:keepLines w:val="0"/>
              <w:widowControl/>
              <w:suppressLineNumbers w:val="0"/>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b w:val="0"/>
                <w:bCs w:val="0"/>
                <w:kern w:val="0"/>
                <w:sz w:val="24"/>
                <w:szCs w:val="24"/>
                <w:lang w:eastAsia="zh-CN"/>
              </w:rPr>
              <w:t>视联智网平台是中国电信自主研发的智能边缘计算产品，产品采用自主研发的深度学习算法，集视频接入、解析、管理、应用于一体，具有算力强大、算法丰富、稳定可靠等特点，可广泛应用智慧园区、安监生产等场景，可有效提升视频监控价值，提高安防管理效率。可根据实际需求灵活调用，轻松适配各类场景。包括：人脸抓拍比对、口罩识别、车辆识别、人员跌倒、人群聚集、快速移动、打架斗殴、人员越线、区域入侵、垃圾桶满溢、烟雾检测、火点检测、安全帽识别、反光衣识别、人员离岗、双人在岗、玩手机检测、电瓶车进入电梯、抽烟检测、打电话检测。</w:t>
            </w:r>
          </w:p>
        </w:tc>
        <w:tc>
          <w:tcPr>
            <w:tcW w:w="1556" w:type="dxa"/>
            <w:tcBorders>
              <w:top w:val="single" w:color="auto" w:sz="4" w:space="0"/>
              <w:left w:val="nil"/>
              <w:bottom w:val="single" w:color="auto" w:sz="4" w:space="0"/>
              <w:right w:val="single" w:color="auto" w:sz="4" w:space="0"/>
            </w:tcBorders>
            <w:shd w:val="clear" w:color="auto" w:fill="auto"/>
            <w:vAlign w:val="center"/>
          </w:tcPr>
          <w:p w14:paraId="41F8CDF4">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0.6</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起</w:t>
            </w:r>
          </w:p>
        </w:tc>
        <w:tc>
          <w:tcPr>
            <w:tcW w:w="3349" w:type="dxa"/>
            <w:tcBorders>
              <w:top w:val="single" w:color="auto" w:sz="4" w:space="0"/>
              <w:left w:val="nil"/>
              <w:bottom w:val="single" w:color="auto" w:sz="4" w:space="0"/>
              <w:right w:val="single" w:color="auto" w:sz="4" w:space="0"/>
            </w:tcBorders>
            <w:shd w:val="clear" w:color="auto" w:fill="auto"/>
            <w:vAlign w:val="center"/>
          </w:tcPr>
          <w:p w14:paraId="25288820">
            <w:pPr>
              <w:jc w:val="left"/>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r w14:paraId="7E03A61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7DEAE4B">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20</w:t>
            </w:r>
          </w:p>
        </w:tc>
        <w:tc>
          <w:tcPr>
            <w:tcW w:w="1511" w:type="dxa"/>
            <w:tcBorders>
              <w:top w:val="single" w:color="auto" w:sz="4" w:space="0"/>
              <w:left w:val="nil"/>
              <w:bottom w:val="single" w:color="auto" w:sz="4" w:space="0"/>
              <w:right w:val="single" w:color="auto" w:sz="4" w:space="0"/>
            </w:tcBorders>
            <w:shd w:val="clear" w:color="auto" w:fill="auto"/>
            <w:vAlign w:val="center"/>
          </w:tcPr>
          <w:p w14:paraId="74E1508C">
            <w:pPr>
              <w:keepNext w:val="0"/>
              <w:keepLines w:val="0"/>
              <w:widowControl/>
              <w:suppressLineNumbers w:val="0"/>
              <w:jc w:val="center"/>
              <w:textAlignment w:val="center"/>
              <w:rPr>
                <w:rFonts w:hint="eastAsia" w:ascii="仿宋_GB2312" w:hAnsi="仿宋_GB2312" w:eastAsia="仿宋_GB2312" w:cs="仿宋_GB2312"/>
                <w:b w:val="0"/>
                <w:bCs w:val="0"/>
                <w:strike/>
                <w:color w:val="auto"/>
                <w:kern w:val="0"/>
                <w:sz w:val="24"/>
                <w:szCs w:val="24"/>
                <w:lang w:val="en-US" w:eastAsia="zh-CN" w:bidi="ar-SA"/>
              </w:rPr>
            </w:pPr>
            <w:r>
              <w:rPr>
                <w:rFonts w:hint="eastAsia" w:ascii="仿宋_GB2312" w:hAnsi="仿宋_GB2312" w:eastAsia="仿宋_GB2312" w:cs="仿宋_GB2312"/>
                <w:b w:val="0"/>
                <w:bCs w:val="0"/>
                <w:color w:val="000000" w:themeColor="text1"/>
                <w:kern w:val="0"/>
                <w:sz w:val="24"/>
                <w:szCs w:val="24"/>
                <w:lang w:eastAsia="zh-CN"/>
                <w14:textFill>
                  <w14:solidFill>
                    <w14:schemeClr w14:val="tx1"/>
                  </w14:solidFill>
                </w14:textFill>
              </w:rPr>
              <w:t>星辰</w:t>
            </w:r>
            <w:r>
              <w:rPr>
                <w:rFonts w:hint="eastAsia" w:ascii="仿宋_GB2312" w:hAnsi="仿宋_GB2312" w:eastAsia="仿宋_GB2312" w:cs="仿宋_GB2312"/>
                <w:b w:val="0"/>
                <w:bCs w:val="0"/>
                <w:color w:val="000000" w:themeColor="text1"/>
                <w:kern w:val="0"/>
                <w:sz w:val="24"/>
                <w:szCs w:val="24"/>
                <w14:textFill>
                  <w14:solidFill>
                    <w14:schemeClr w14:val="tx1"/>
                  </w14:solidFill>
                </w14:textFill>
              </w:rPr>
              <w:t>大模型</w:t>
            </w:r>
            <w:r>
              <w:rPr>
                <w:rFonts w:hint="eastAsia" w:ascii="仿宋_GB2312" w:hAnsi="仿宋_GB2312" w:eastAsia="仿宋_GB2312" w:cs="仿宋_GB2312"/>
                <w:b w:val="0"/>
                <w:bCs w:val="0"/>
                <w:color w:val="000000" w:themeColor="text1"/>
                <w:kern w:val="0"/>
                <w:sz w:val="24"/>
                <w:szCs w:val="24"/>
                <w:lang w:eastAsia="zh-CN"/>
                <w14:textFill>
                  <w14:solidFill>
                    <w14:schemeClr w14:val="tx1"/>
                  </w14:solidFill>
                </w14:textFill>
              </w:rPr>
              <w:t>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6BBE474F">
            <w:pPr>
              <w:keepNext w:val="0"/>
              <w:keepLines w:val="0"/>
              <w:widowControl/>
              <w:suppressLineNumbers w:val="0"/>
              <w:jc w:val="left"/>
              <w:textAlignment w:val="center"/>
              <w:rPr>
                <w:rFonts w:hint="eastAsia" w:ascii="仿宋_GB2312" w:hAnsi="仿宋_GB2312" w:eastAsia="仿宋_GB2312" w:cs="仿宋_GB2312"/>
                <w:b w:val="0"/>
                <w:bCs w:val="0"/>
                <w:strike/>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28D6136A">
            <w:pPr>
              <w:keepNext w:val="0"/>
              <w:keepLines w:val="0"/>
              <w:widowControl/>
              <w:suppressLineNumbers w:val="0"/>
              <w:jc w:val="left"/>
              <w:textAlignment w:val="auto"/>
              <w:rPr>
                <w:rFonts w:hint="eastAsia" w:ascii="仿宋_GB2312" w:hAnsi="等线" w:eastAsia="仿宋_GB2312" w:cs="宋体"/>
                <w:b w:val="0"/>
                <w:bCs w:val="0"/>
                <w:strike w:val="0"/>
                <w:kern w:val="0"/>
                <w:sz w:val="24"/>
                <w:szCs w:val="24"/>
                <w:lang w:val="en-US" w:eastAsia="zh-CN" w:bidi="ar-SA"/>
              </w:rPr>
            </w:pPr>
            <w:r>
              <w:rPr>
                <w:rFonts w:hint="eastAsia" w:ascii="仿宋_GB2312" w:hAnsi="等线" w:eastAsia="仿宋_GB2312" w:cs="宋体"/>
                <w:b w:val="0"/>
                <w:bCs w:val="0"/>
                <w:kern w:val="0"/>
                <w:sz w:val="24"/>
                <w:szCs w:val="24"/>
              </w:rPr>
              <w:t>星辰大模型</w:t>
            </w:r>
            <w:r>
              <w:rPr>
                <w:rFonts w:hint="eastAsia" w:ascii="仿宋_GB2312" w:hAnsi="等线" w:eastAsia="仿宋_GB2312" w:cs="宋体"/>
                <w:b w:val="0"/>
                <w:bCs w:val="0"/>
                <w:kern w:val="0"/>
                <w:sz w:val="24"/>
                <w:szCs w:val="24"/>
                <w:lang w:eastAsia="zh-CN"/>
              </w:rPr>
              <w:t>平台</w:t>
            </w:r>
            <w:r>
              <w:rPr>
                <w:rFonts w:hint="eastAsia" w:ascii="仿宋_GB2312" w:hAnsi="等线" w:eastAsia="仿宋_GB2312" w:cs="宋体"/>
                <w:b w:val="0"/>
                <w:bCs w:val="0"/>
                <w:kern w:val="0"/>
                <w:sz w:val="24"/>
                <w:szCs w:val="24"/>
              </w:rPr>
              <w:t>标准版是中国电信自主研发的智能边缘计算产品，集视频接入、解析、管理、应用于—体，部署灵活，操作方便，运维简单，即可实现Al业务闭环，预置6大类10余种算法，用户可根据实际需求灵活调用，轻松适配各类场景，包括：人脸识别、行为分析、安全生产、车辆识别、周界防范、城市治理等。</w:t>
            </w:r>
          </w:p>
        </w:tc>
        <w:tc>
          <w:tcPr>
            <w:tcW w:w="1556" w:type="dxa"/>
            <w:tcBorders>
              <w:top w:val="single" w:color="auto" w:sz="4" w:space="0"/>
              <w:left w:val="nil"/>
              <w:bottom w:val="single" w:color="auto" w:sz="4" w:space="0"/>
              <w:right w:val="single" w:color="auto" w:sz="4" w:space="0"/>
            </w:tcBorders>
            <w:shd w:val="clear" w:color="auto" w:fill="auto"/>
            <w:vAlign w:val="center"/>
          </w:tcPr>
          <w:p w14:paraId="3F760466">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按不同规格</w:t>
            </w:r>
          </w:p>
          <w:p w14:paraId="33C2C133">
            <w:pPr>
              <w:keepNext w:val="0"/>
              <w:keepLines w:val="0"/>
              <w:widowControl/>
              <w:suppressLineNumbers w:val="0"/>
              <w:jc w:val="left"/>
              <w:textAlignment w:val="center"/>
              <w:rPr>
                <w:rFonts w:hint="eastAsia" w:ascii="仿宋_GB2312" w:hAnsi="仿宋_GB2312" w:eastAsia="仿宋_GB2312" w:cs="仿宋_GB2312"/>
                <w:b w:val="0"/>
                <w:bCs w:val="0"/>
                <w:strike/>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2</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-15</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/个（</w:t>
            </w:r>
            <w:r>
              <w:rPr>
                <w:rFonts w:hint="eastAsia" w:ascii="仿宋_GB2312" w:hAnsi="仿宋_GB2312" w:eastAsia="仿宋_GB2312" w:cs="仿宋_GB2312"/>
                <w:b w:val="0"/>
                <w:bCs w:val="0"/>
                <w:color w:val="auto"/>
                <w:kern w:val="0"/>
                <w:sz w:val="24"/>
                <w:szCs w:val="24"/>
                <w:lang w:eastAsia="zh-CN"/>
              </w:rPr>
              <w:t>许可）</w:t>
            </w:r>
          </w:p>
        </w:tc>
        <w:tc>
          <w:tcPr>
            <w:tcW w:w="3349" w:type="dxa"/>
            <w:tcBorders>
              <w:top w:val="single" w:color="auto" w:sz="4" w:space="0"/>
              <w:left w:val="nil"/>
              <w:bottom w:val="single" w:color="auto" w:sz="4" w:space="0"/>
              <w:right w:val="single" w:color="auto" w:sz="4" w:space="0"/>
            </w:tcBorders>
            <w:shd w:val="clear" w:color="auto" w:fill="auto"/>
            <w:vAlign w:val="center"/>
          </w:tcPr>
          <w:p w14:paraId="25FF0802">
            <w:pPr>
              <w:jc w:val="left"/>
              <w:rPr>
                <w:rFonts w:hint="eastAsia" w:ascii="仿宋_GB2312" w:hAnsi="仿宋_GB2312" w:eastAsia="仿宋_GB2312" w:cs="仿宋_GB2312"/>
                <w:b w:val="0"/>
                <w:bCs w:val="0"/>
                <w:strike/>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r>
    </w:tbl>
    <w:p w14:paraId="15DEDCC7">
      <w:pPr>
        <w:rPr>
          <w:rFonts w:hint="eastAsia" w:ascii="仿宋_GB2312" w:hAnsi="仿宋_GB2312" w:eastAsia="仿宋_GB2312" w:cs="仿宋_GB2312"/>
          <w:bCs/>
          <w:sz w:val="32"/>
          <w:szCs w:val="32"/>
          <w:lang w:eastAsia="zh-CN"/>
        </w:rPr>
        <w:sectPr>
          <w:footerReference r:id="rId3" w:type="default"/>
          <w:pgSz w:w="16838" w:h="11906" w:orient="landscape"/>
          <w:pgMar w:top="1797" w:right="1440" w:bottom="1797" w:left="1440" w:header="851" w:footer="992" w:gutter="0"/>
          <w:cols w:space="720" w:num="1"/>
          <w:docGrid w:type="lines" w:linePitch="381" w:charSpace="0"/>
        </w:sectPr>
      </w:pPr>
    </w:p>
    <w:p w14:paraId="370790BF">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二</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联合体成员：佛山企帅数字科技有限公司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370"/>
      </w:tblGrid>
      <w:tr w14:paraId="21D8421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091998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80C59E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5ADF2D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7DD4BBF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12B4D465">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370" w:type="dxa"/>
            <w:tcBorders>
              <w:top w:val="single" w:color="auto" w:sz="4" w:space="0"/>
              <w:left w:val="nil"/>
              <w:bottom w:val="single" w:color="auto" w:sz="4" w:space="0"/>
              <w:right w:val="single" w:color="auto" w:sz="4" w:space="0"/>
            </w:tcBorders>
            <w:shd w:val="clear" w:color="auto" w:fill="auto"/>
            <w:vAlign w:val="center"/>
          </w:tcPr>
          <w:p w14:paraId="3C8385A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05E451B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363CCD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6CE9EFD">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企帅ERP系统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67D713C3">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经营管理/</w:t>
            </w:r>
          </w:p>
          <w:p w14:paraId="468D1C2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资源计划II</w:t>
            </w:r>
          </w:p>
        </w:tc>
        <w:tc>
          <w:tcPr>
            <w:tcW w:w="4387" w:type="dxa"/>
            <w:tcBorders>
              <w:top w:val="single" w:color="auto" w:sz="4" w:space="0"/>
              <w:left w:val="nil"/>
              <w:bottom w:val="single" w:color="auto" w:sz="4" w:space="0"/>
              <w:right w:val="single" w:color="auto" w:sz="4" w:space="0"/>
            </w:tcBorders>
            <w:shd w:val="clear" w:color="auto" w:fill="auto"/>
            <w:vAlign w:val="center"/>
          </w:tcPr>
          <w:p w14:paraId="126FC63B">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物料管理、人事管理、销售管理、采购管理、生产管理、仓库管理、财务管理、核价管理、办公管理、报表</w:t>
            </w:r>
          </w:p>
        </w:tc>
        <w:tc>
          <w:tcPr>
            <w:tcW w:w="1551" w:type="dxa"/>
            <w:tcBorders>
              <w:top w:val="single" w:color="auto" w:sz="4" w:space="0"/>
              <w:left w:val="nil"/>
              <w:bottom w:val="single" w:color="auto" w:sz="4" w:space="0"/>
              <w:right w:val="single" w:color="auto" w:sz="4" w:space="0"/>
            </w:tcBorders>
            <w:shd w:val="clear" w:color="auto" w:fill="auto"/>
            <w:vAlign w:val="center"/>
          </w:tcPr>
          <w:p w14:paraId="774F1EEB">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2万元-10万元</w:t>
            </w:r>
          </w:p>
        </w:tc>
        <w:tc>
          <w:tcPr>
            <w:tcW w:w="3370" w:type="dxa"/>
            <w:tcBorders>
              <w:top w:val="single" w:color="auto" w:sz="4" w:space="0"/>
              <w:left w:val="nil"/>
              <w:bottom w:val="single" w:color="auto" w:sz="4" w:space="0"/>
              <w:right w:val="single" w:color="auto" w:sz="4" w:space="0"/>
            </w:tcBorders>
            <w:shd w:val="clear" w:color="auto" w:fill="auto"/>
            <w:vAlign w:val="center"/>
          </w:tcPr>
          <w:p w14:paraId="6EED86EB">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广东创兴精密制造股份有限公司数字车间</w:t>
            </w:r>
          </w:p>
        </w:tc>
      </w:tr>
      <w:tr w14:paraId="0F4727F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C180590">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C36C8C6">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企帅PDM系统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5F01433F">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研发设计/</w:t>
            </w:r>
          </w:p>
          <w:p w14:paraId="410AA47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通用研发管理（PDM）</w:t>
            </w:r>
          </w:p>
        </w:tc>
        <w:tc>
          <w:tcPr>
            <w:tcW w:w="4387" w:type="dxa"/>
            <w:tcBorders>
              <w:top w:val="single" w:color="auto" w:sz="4" w:space="0"/>
              <w:left w:val="nil"/>
              <w:bottom w:val="single" w:color="auto" w:sz="4" w:space="0"/>
              <w:right w:val="single" w:color="auto" w:sz="4" w:space="0"/>
            </w:tcBorders>
            <w:shd w:val="clear" w:color="auto" w:fill="auto"/>
            <w:vAlign w:val="center"/>
          </w:tcPr>
          <w:p w14:paraId="3B393BEA">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物料信息管理、BOM管理、工艺管理、图纸管理、SolidWorks插件、AutoCAD插件</w:t>
            </w:r>
          </w:p>
        </w:tc>
        <w:tc>
          <w:tcPr>
            <w:tcW w:w="1551" w:type="dxa"/>
            <w:tcBorders>
              <w:top w:val="single" w:color="auto" w:sz="4" w:space="0"/>
              <w:left w:val="nil"/>
              <w:bottom w:val="single" w:color="auto" w:sz="4" w:space="0"/>
              <w:right w:val="single" w:color="auto" w:sz="4" w:space="0"/>
            </w:tcBorders>
            <w:shd w:val="clear" w:color="auto" w:fill="auto"/>
            <w:vAlign w:val="center"/>
          </w:tcPr>
          <w:p w14:paraId="3FD8C83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5万元-10万元</w:t>
            </w:r>
          </w:p>
        </w:tc>
        <w:tc>
          <w:tcPr>
            <w:tcW w:w="3370" w:type="dxa"/>
            <w:tcBorders>
              <w:top w:val="single" w:color="auto" w:sz="4" w:space="0"/>
              <w:left w:val="nil"/>
              <w:bottom w:val="single" w:color="auto" w:sz="4" w:space="0"/>
              <w:right w:val="single" w:color="auto" w:sz="4" w:space="0"/>
            </w:tcBorders>
            <w:shd w:val="clear" w:color="auto" w:fill="auto"/>
            <w:vAlign w:val="center"/>
          </w:tcPr>
          <w:p w14:paraId="069E8D97">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广东创兴精密制造股份有限公司数字车间</w:t>
            </w:r>
          </w:p>
        </w:tc>
      </w:tr>
      <w:tr w14:paraId="350B474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14BBBF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30EB120">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企帅MES系统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9496737">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生产管控/</w:t>
            </w:r>
          </w:p>
          <w:p w14:paraId="58565B8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生产协同I</w:t>
            </w:r>
          </w:p>
        </w:tc>
        <w:tc>
          <w:tcPr>
            <w:tcW w:w="4387" w:type="dxa"/>
            <w:tcBorders>
              <w:top w:val="single" w:color="auto" w:sz="4" w:space="0"/>
              <w:left w:val="nil"/>
              <w:bottom w:val="single" w:color="auto" w:sz="4" w:space="0"/>
              <w:right w:val="single" w:color="auto" w:sz="4" w:space="0"/>
            </w:tcBorders>
            <w:shd w:val="clear" w:color="auto" w:fill="auto"/>
            <w:vAlign w:val="center"/>
          </w:tcPr>
          <w:p w14:paraId="63BC53C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生产计划管理、生产任务管理、工序计划管理、派工管理、生产排程管理、MRP运算、生产领料、在制品管理、生产报工、生产跟踪、生产齐套管理、质量管理、设备管理、排版编程管理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13E82A80">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2万元-20万元</w:t>
            </w:r>
          </w:p>
        </w:tc>
        <w:tc>
          <w:tcPr>
            <w:tcW w:w="3370" w:type="dxa"/>
            <w:tcBorders>
              <w:top w:val="single" w:color="auto" w:sz="4" w:space="0"/>
              <w:left w:val="nil"/>
              <w:bottom w:val="single" w:color="auto" w:sz="4" w:space="0"/>
              <w:right w:val="single" w:color="auto" w:sz="4" w:space="0"/>
            </w:tcBorders>
            <w:shd w:val="clear" w:color="auto" w:fill="auto"/>
            <w:vAlign w:val="center"/>
          </w:tcPr>
          <w:p w14:paraId="3E80DF6A">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中山悦驰精密科技有限公司数字化车间</w:t>
            </w:r>
          </w:p>
        </w:tc>
      </w:tr>
      <w:tr w14:paraId="2BA1058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FA9088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24E485D0">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企帅WMS系统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3A0B74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经营管理/仓储管理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0CBC57B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库存管理、库位管理、货架管理、盘点统计、调拨管理、出入库操作</w:t>
            </w:r>
          </w:p>
        </w:tc>
        <w:tc>
          <w:tcPr>
            <w:tcW w:w="1551" w:type="dxa"/>
            <w:tcBorders>
              <w:top w:val="single" w:color="auto" w:sz="4" w:space="0"/>
              <w:left w:val="nil"/>
              <w:bottom w:val="single" w:color="auto" w:sz="4" w:space="0"/>
              <w:right w:val="single" w:color="auto" w:sz="4" w:space="0"/>
            </w:tcBorders>
            <w:shd w:val="clear" w:color="auto" w:fill="auto"/>
            <w:vAlign w:val="center"/>
          </w:tcPr>
          <w:p w14:paraId="601D504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1万元-5万元</w:t>
            </w:r>
          </w:p>
        </w:tc>
        <w:tc>
          <w:tcPr>
            <w:tcW w:w="3370" w:type="dxa"/>
            <w:tcBorders>
              <w:top w:val="single" w:color="auto" w:sz="4" w:space="0"/>
              <w:left w:val="nil"/>
              <w:bottom w:val="single" w:color="auto" w:sz="4" w:space="0"/>
              <w:right w:val="single" w:color="auto" w:sz="4" w:space="0"/>
            </w:tcBorders>
            <w:shd w:val="clear" w:color="auto" w:fill="auto"/>
            <w:vAlign w:val="center"/>
          </w:tcPr>
          <w:p w14:paraId="5C4D616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广东创兴精密制造股份有限公司数字车间</w:t>
            </w:r>
          </w:p>
        </w:tc>
      </w:tr>
    </w:tbl>
    <w:p w14:paraId="3889CDB7">
      <w:pPr>
        <w:rPr>
          <w:rFonts w:ascii="仿宋_GB2312" w:hAnsi="仿宋_GB2312" w:eastAsia="仿宋_GB2312" w:cs="仿宋_GB2312"/>
          <w:bCs/>
          <w:sz w:val="32"/>
          <w:szCs w:val="32"/>
        </w:rPr>
      </w:pPr>
    </w:p>
    <w:p w14:paraId="6AACD7DC">
      <w:pPr>
        <w:rPr>
          <w:rFonts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75FB9FF8">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三</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联合体成员：广东壹公里数智科技有限公司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45"/>
      </w:tblGrid>
      <w:tr w14:paraId="016FC4B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4BE86CB">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FC78C2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B214DB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794ECD1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57C30C7">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845" w:type="dxa"/>
            <w:tcBorders>
              <w:top w:val="single" w:color="auto" w:sz="4" w:space="0"/>
              <w:left w:val="nil"/>
              <w:bottom w:val="single" w:color="auto" w:sz="4" w:space="0"/>
              <w:right w:val="single" w:color="auto" w:sz="4" w:space="0"/>
            </w:tcBorders>
            <w:shd w:val="clear" w:color="auto" w:fill="auto"/>
            <w:vAlign w:val="center"/>
          </w:tcPr>
          <w:p w14:paraId="1FE7427A">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55DC68D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B15FB1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2EF49CA">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BossBI数据管理云化应用软件</w:t>
            </w:r>
          </w:p>
          <w:p w14:paraId="0531C2EB">
            <w:pPr>
              <w:widowControl/>
              <w:jc w:val="center"/>
              <w:rPr>
                <w:rFonts w:hint="eastAsia" w:ascii="仿宋_GB2312" w:hAnsi="等线" w:eastAsia="仿宋_GB2312" w:cs="宋体"/>
                <w:kern w:val="0"/>
                <w:sz w:val="24"/>
                <w:szCs w:val="24"/>
                <w:lang w:val="en-US" w:eastAsia="zh-CN" w:bidi="ar-SA"/>
              </w:rPr>
            </w:pPr>
          </w:p>
        </w:tc>
        <w:tc>
          <w:tcPr>
            <w:tcW w:w="2318" w:type="dxa"/>
            <w:tcBorders>
              <w:top w:val="single" w:color="auto" w:sz="4" w:space="0"/>
              <w:left w:val="nil"/>
              <w:bottom w:val="single" w:color="auto" w:sz="4" w:space="0"/>
              <w:right w:val="single" w:color="auto" w:sz="4" w:space="0"/>
            </w:tcBorders>
            <w:shd w:val="clear" w:color="auto" w:fill="auto"/>
            <w:vAlign w:val="center"/>
          </w:tcPr>
          <w:p w14:paraId="13C11BBF">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经营管理</w:t>
            </w:r>
          </w:p>
          <w:p w14:paraId="696364EF">
            <w:pPr>
              <w:widowControl/>
              <w:jc w:val="left"/>
              <w:rPr>
                <w:rFonts w:hint="eastAsia" w:ascii="仿宋_GB2312" w:hAnsi="等线" w:eastAsia="仿宋_GB2312" w:cs="宋体"/>
                <w:kern w:val="0"/>
                <w:sz w:val="24"/>
                <w:szCs w:val="24"/>
                <w:lang w:val="en-US" w:eastAsia="zh-CN" w:bidi="ar-SA"/>
              </w:rPr>
            </w:pPr>
          </w:p>
        </w:tc>
        <w:tc>
          <w:tcPr>
            <w:tcW w:w="4387" w:type="dxa"/>
            <w:tcBorders>
              <w:top w:val="single" w:color="auto" w:sz="4" w:space="0"/>
              <w:left w:val="nil"/>
              <w:bottom w:val="single" w:color="auto" w:sz="4" w:space="0"/>
              <w:right w:val="single" w:color="auto" w:sz="4" w:space="0"/>
            </w:tcBorders>
            <w:shd w:val="clear" w:color="auto" w:fill="auto"/>
            <w:vAlign w:val="center"/>
          </w:tcPr>
          <w:p w14:paraId="47576EA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面向需要分析企业数据的各种类型的企业</w:t>
            </w:r>
          </w:p>
          <w:p w14:paraId="45D1D22F">
            <w:pPr>
              <w:widowControl/>
              <w:jc w:val="left"/>
              <w:rPr>
                <w:rFonts w:hint="eastAsia" w:ascii="仿宋_GB2312" w:hAnsi="等线" w:eastAsia="仿宋_GB2312" w:cs="宋体"/>
                <w:kern w:val="0"/>
                <w:sz w:val="24"/>
                <w:szCs w:val="24"/>
                <w:lang w:val="en-US" w:eastAsia="zh-CN" w:bidi="ar-SA"/>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461BC1F9">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4万元-50万元</w:t>
            </w:r>
          </w:p>
          <w:p w14:paraId="78E0C193">
            <w:pPr>
              <w:widowControl/>
              <w:jc w:val="left"/>
              <w:rPr>
                <w:rFonts w:hint="eastAsia" w:ascii="仿宋_GB2312" w:hAnsi="等线" w:eastAsia="仿宋_GB2312" w:cs="宋体"/>
                <w:kern w:val="0"/>
                <w:sz w:val="24"/>
                <w:szCs w:val="24"/>
                <w:lang w:val="en-US" w:eastAsia="zh-CN" w:bidi="ar-SA"/>
              </w:rPr>
            </w:pPr>
          </w:p>
        </w:tc>
        <w:tc>
          <w:tcPr>
            <w:tcW w:w="3845" w:type="dxa"/>
            <w:tcBorders>
              <w:top w:val="single" w:color="auto" w:sz="4" w:space="0"/>
              <w:left w:val="nil"/>
              <w:bottom w:val="single" w:color="auto" w:sz="4" w:space="0"/>
              <w:right w:val="single" w:color="auto" w:sz="4" w:space="0"/>
            </w:tcBorders>
            <w:shd w:val="clear" w:color="auto" w:fill="auto"/>
            <w:vAlign w:val="center"/>
          </w:tcPr>
          <w:p w14:paraId="4C0944E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广东联邦家私集团有限公司</w:t>
            </w:r>
          </w:p>
          <w:p w14:paraId="6AFD05ED">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广东万和新电气股份有限公司</w:t>
            </w:r>
          </w:p>
          <w:p w14:paraId="7CB61E8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广东齐力澳美高新材料股份有限公司</w:t>
            </w:r>
          </w:p>
          <w:p w14:paraId="65B9BA09">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佛山登奇机电技术有限公司</w:t>
            </w:r>
          </w:p>
        </w:tc>
      </w:tr>
      <w:tr w14:paraId="0A820F1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0CA44B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EB8E76D">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BossBI数据中台云化应用软件</w:t>
            </w:r>
          </w:p>
          <w:p w14:paraId="376F381E">
            <w:pPr>
              <w:widowControl/>
              <w:jc w:val="center"/>
              <w:rPr>
                <w:rFonts w:hint="eastAsia" w:ascii="仿宋_GB2312" w:hAnsi="等线" w:eastAsia="仿宋_GB2312" w:cs="宋体"/>
                <w:kern w:val="0"/>
                <w:sz w:val="24"/>
                <w:szCs w:val="24"/>
                <w:lang w:val="en-US" w:eastAsia="zh-CN" w:bidi="ar-SA"/>
              </w:rPr>
            </w:pPr>
          </w:p>
        </w:tc>
        <w:tc>
          <w:tcPr>
            <w:tcW w:w="2318" w:type="dxa"/>
            <w:tcBorders>
              <w:top w:val="single" w:color="auto" w:sz="4" w:space="0"/>
              <w:left w:val="nil"/>
              <w:bottom w:val="single" w:color="auto" w:sz="4" w:space="0"/>
              <w:right w:val="single" w:color="auto" w:sz="4" w:space="0"/>
            </w:tcBorders>
            <w:shd w:val="clear" w:color="auto" w:fill="auto"/>
            <w:vAlign w:val="center"/>
          </w:tcPr>
          <w:p w14:paraId="645996B3">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经营管理、中台集成</w:t>
            </w:r>
          </w:p>
          <w:p w14:paraId="3952DE1C">
            <w:pPr>
              <w:widowControl/>
              <w:jc w:val="left"/>
              <w:rPr>
                <w:rFonts w:hint="eastAsia" w:ascii="仿宋_GB2312" w:hAnsi="等线" w:eastAsia="仿宋_GB2312" w:cs="宋体"/>
                <w:kern w:val="0"/>
                <w:sz w:val="24"/>
                <w:szCs w:val="24"/>
                <w:lang w:val="en-US" w:eastAsia="zh-CN" w:bidi="ar-SA"/>
              </w:rPr>
            </w:pPr>
          </w:p>
        </w:tc>
        <w:tc>
          <w:tcPr>
            <w:tcW w:w="4387" w:type="dxa"/>
            <w:tcBorders>
              <w:top w:val="single" w:color="auto" w:sz="4" w:space="0"/>
              <w:left w:val="nil"/>
              <w:bottom w:val="single" w:color="auto" w:sz="4" w:space="0"/>
              <w:right w:val="single" w:color="auto" w:sz="4" w:space="0"/>
            </w:tcBorders>
            <w:shd w:val="clear" w:color="auto" w:fill="auto"/>
            <w:vAlign w:val="center"/>
          </w:tcPr>
          <w:p w14:paraId="1D66BA4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面向需要高效处理大量数据的企业使用，以实现数据资产的共享和复用的各种类型的企业</w:t>
            </w:r>
          </w:p>
          <w:p w14:paraId="146B25EF">
            <w:pPr>
              <w:widowControl/>
              <w:jc w:val="left"/>
              <w:rPr>
                <w:rFonts w:hint="eastAsia" w:ascii="仿宋_GB2312" w:hAnsi="等线" w:eastAsia="仿宋_GB2312" w:cs="宋体"/>
                <w:kern w:val="0"/>
                <w:sz w:val="24"/>
                <w:szCs w:val="24"/>
                <w:lang w:val="en-US" w:eastAsia="zh-CN" w:bidi="ar-SA"/>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467400E7">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20万元-200万元</w:t>
            </w:r>
          </w:p>
          <w:p w14:paraId="237695ED">
            <w:pPr>
              <w:widowControl/>
              <w:jc w:val="left"/>
              <w:rPr>
                <w:rFonts w:hint="eastAsia" w:ascii="仿宋_GB2312" w:hAnsi="等线" w:eastAsia="仿宋_GB2312" w:cs="宋体"/>
                <w:kern w:val="0"/>
                <w:sz w:val="24"/>
                <w:szCs w:val="24"/>
                <w:lang w:val="en-US" w:eastAsia="zh-CN" w:bidi="ar-SA"/>
              </w:rPr>
            </w:pPr>
          </w:p>
        </w:tc>
        <w:tc>
          <w:tcPr>
            <w:tcW w:w="3845" w:type="dxa"/>
            <w:tcBorders>
              <w:top w:val="single" w:color="auto" w:sz="4" w:space="0"/>
              <w:left w:val="nil"/>
              <w:bottom w:val="single" w:color="auto" w:sz="4" w:space="0"/>
              <w:right w:val="single" w:color="auto" w:sz="4" w:space="0"/>
            </w:tcBorders>
            <w:shd w:val="clear" w:color="auto" w:fill="auto"/>
            <w:vAlign w:val="center"/>
          </w:tcPr>
          <w:p w14:paraId="3DF6EFD9">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广东联邦家私集团有限公司</w:t>
            </w:r>
          </w:p>
          <w:p w14:paraId="642E9ED0">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广东万和新电气股份有限公司</w:t>
            </w:r>
          </w:p>
          <w:p w14:paraId="2233EF60">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广东齐力澳美高新材料股份有限公司</w:t>
            </w:r>
          </w:p>
          <w:p w14:paraId="4D217BC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佛山登奇机电技术有限公司</w:t>
            </w:r>
          </w:p>
        </w:tc>
      </w:tr>
    </w:tbl>
    <w:p w14:paraId="44D9AF1E">
      <w:pPr>
        <w:spacing w:line="560" w:lineRule="exact"/>
        <w:rPr>
          <w:rFonts w:hint="eastAsia" w:ascii="仿宋_GB2312" w:hAnsi="仿宋_GB2312" w:eastAsia="仿宋_GB2312" w:cs="仿宋_GB2312"/>
          <w:bCs/>
          <w:sz w:val="32"/>
          <w:szCs w:val="32"/>
          <w:lang w:eastAsia="zh-CN"/>
        </w:rPr>
      </w:pPr>
    </w:p>
    <w:p w14:paraId="7F751F38">
      <w:pPr>
        <w:pStyle w:val="2"/>
        <w:rPr>
          <w:rFonts w:hint="eastAsia" w:ascii="仿宋_GB2312" w:hAnsi="仿宋_GB2312" w:eastAsia="仿宋_GB2312" w:cs="仿宋_GB2312"/>
          <w:bCs/>
          <w:sz w:val="32"/>
          <w:szCs w:val="32"/>
          <w:lang w:eastAsia="zh-CN"/>
        </w:rPr>
      </w:pPr>
    </w:p>
    <w:p w14:paraId="3A5F5FE4">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四</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联合体成员：用友网络科技股份有限公司佛山分公司  </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790"/>
      </w:tblGrid>
      <w:tr w14:paraId="212489D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705E247">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1E35B024">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4E0C0D1E">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42369A68">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38AD3DE">
            <w:pPr>
              <w:widowControl/>
              <w:jc w:val="center"/>
              <w:rPr>
                <w:rFonts w:hint="eastAsia"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790" w:type="dxa"/>
            <w:tcBorders>
              <w:top w:val="single" w:color="auto" w:sz="4" w:space="0"/>
              <w:left w:val="nil"/>
              <w:bottom w:val="single" w:color="auto" w:sz="4" w:space="0"/>
              <w:right w:val="single" w:color="auto" w:sz="4" w:space="0"/>
            </w:tcBorders>
            <w:shd w:val="clear" w:color="auto" w:fill="auto"/>
            <w:vAlign w:val="center"/>
          </w:tcPr>
          <w:p w14:paraId="39C680B8">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27A23C4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E82E458">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i w:val="0"/>
                <w:iCs w:val="0"/>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75089E4">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drawing>
                <wp:anchor distT="0" distB="0" distL="114300" distR="114300" simplePos="0" relativeHeight="251659264" behindDoc="0" locked="0" layoutInCell="1" hidden="1" allowOverlap="1">
                  <wp:simplePos x="0" y="0"/>
                  <wp:positionH relativeFrom="column">
                    <wp:posOffset>-6350</wp:posOffset>
                  </wp:positionH>
                  <wp:positionV relativeFrom="paragraph">
                    <wp:posOffset>0</wp:posOffset>
                  </wp:positionV>
                  <wp:extent cx="609600" cy="2152650"/>
                  <wp:effectExtent l="0" t="0" r="0" b="0"/>
                  <wp:wrapNone/>
                  <wp:docPr id="3" name="Host Control  1" hidden="1"/>
                  <wp:cNvGraphicFramePr/>
                  <a:graphic xmlns:a="http://schemas.openxmlformats.org/drawingml/2006/main">
                    <a:graphicData uri="http://schemas.openxmlformats.org/drawingml/2006/picture">
                      <pic:pic xmlns:pic="http://schemas.openxmlformats.org/drawingml/2006/picture">
                        <pic:nvPicPr>
                          <pic:cNvPr id="3" name="Host Control  1" hidden="1"/>
                          <pic:cNvPicPr/>
                        </pic:nvPicPr>
                        <pic:blipFill>
                          <a:blip r:embed="rId5"/>
                          <a:stretch>
                            <a:fillRect/>
                          </a:stretch>
                        </pic:blipFill>
                        <pic:spPr>
                          <a:xfrm>
                            <a:off x="0" y="0"/>
                            <a:ext cx="609600" cy="2152650"/>
                          </a:xfrm>
                          <a:prstGeom prst="rect">
                            <a:avLst/>
                          </a:prstGeom>
                          <a:noFill/>
                          <a:ln>
                            <a:noFill/>
                          </a:ln>
                        </pic:spPr>
                      </pic:pic>
                    </a:graphicData>
                  </a:graphic>
                </wp:anchor>
              </w:drawing>
            </w:r>
            <w:r>
              <w:rPr>
                <w:rFonts w:hint="eastAsia" w:ascii="仿宋_GB2312" w:hAnsi="等线" w:eastAsia="仿宋_GB2312" w:cs="宋体"/>
                <w:i w:val="0"/>
                <w:iCs w:val="0"/>
                <w:kern w:val="0"/>
                <w:sz w:val="24"/>
                <w:szCs w:val="24"/>
                <w:u w:val="none"/>
                <w:lang w:val="en-US" w:eastAsia="zh-CN" w:bidi="ar"/>
              </w:rPr>
              <w:t>U9 cloud</w:t>
            </w:r>
          </w:p>
        </w:tc>
        <w:tc>
          <w:tcPr>
            <w:tcW w:w="2318" w:type="dxa"/>
            <w:tcBorders>
              <w:top w:val="single" w:color="auto" w:sz="4" w:space="0"/>
              <w:left w:val="nil"/>
              <w:bottom w:val="single" w:color="auto" w:sz="4" w:space="0"/>
              <w:right w:val="single" w:color="auto" w:sz="4" w:space="0"/>
            </w:tcBorders>
            <w:shd w:val="clear" w:color="auto" w:fill="auto"/>
            <w:vAlign w:val="center"/>
          </w:tcPr>
          <w:p w14:paraId="01A32FEB">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rPr>
              <w:t>数字化改造相关的软件和云服务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4E18C666">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用友U9 cloud提供财务管理、供应链、生产制造、项目管理、HR、营销、资产管理、数据分析、协同办公及移动应用，助力制造企业数字化转型。</w:t>
            </w:r>
          </w:p>
        </w:tc>
        <w:tc>
          <w:tcPr>
            <w:tcW w:w="1551" w:type="dxa"/>
            <w:tcBorders>
              <w:top w:val="single" w:color="auto" w:sz="4" w:space="0"/>
              <w:left w:val="nil"/>
              <w:bottom w:val="single" w:color="auto" w:sz="4" w:space="0"/>
              <w:right w:val="single" w:color="auto" w:sz="4" w:space="0"/>
            </w:tcBorders>
            <w:shd w:val="clear" w:color="auto" w:fill="auto"/>
            <w:vAlign w:val="center"/>
          </w:tcPr>
          <w:p w14:paraId="73EC9229">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drawing>
                <wp:anchor distT="0" distB="0" distL="114300" distR="114300" simplePos="0" relativeHeight="251660288" behindDoc="0" locked="0" layoutInCell="1" hidden="1" allowOverlap="1">
                  <wp:simplePos x="0" y="0"/>
                  <wp:positionH relativeFrom="column">
                    <wp:posOffset>38100</wp:posOffset>
                  </wp:positionH>
                  <wp:positionV relativeFrom="paragraph">
                    <wp:posOffset>0</wp:posOffset>
                  </wp:positionV>
                  <wp:extent cx="609600" cy="1581150"/>
                  <wp:effectExtent l="0" t="0" r="0" b="0"/>
                  <wp:wrapNone/>
                  <wp:docPr id="5" name="Host Control  6" hidden="1"/>
                  <wp:cNvGraphicFramePr/>
                  <a:graphic xmlns:a="http://schemas.openxmlformats.org/drawingml/2006/main">
                    <a:graphicData uri="http://schemas.openxmlformats.org/drawingml/2006/picture">
                      <pic:pic xmlns:pic="http://schemas.openxmlformats.org/drawingml/2006/picture">
                        <pic:nvPicPr>
                          <pic:cNvPr id="5" name="Host Control  6" hidden="1"/>
                          <pic:cNvPicPr/>
                        </pic:nvPicPr>
                        <pic:blipFill>
                          <a:blip r:embed="rId6"/>
                          <a:stretch>
                            <a:fillRect/>
                          </a:stretch>
                        </pic:blipFill>
                        <pic:spPr>
                          <a:xfrm>
                            <a:off x="0" y="0"/>
                            <a:ext cx="609600" cy="1581150"/>
                          </a:xfrm>
                          <a:prstGeom prst="rect">
                            <a:avLst/>
                          </a:prstGeom>
                          <a:noFill/>
                          <a:ln>
                            <a:noFill/>
                          </a:ln>
                        </pic:spPr>
                      </pic:pic>
                    </a:graphicData>
                  </a:graphic>
                </wp:anchor>
              </w:drawing>
            </w:r>
            <w:r>
              <w:rPr>
                <w:rFonts w:hint="eastAsia" w:ascii="仿宋_GB2312" w:hAnsi="等线" w:eastAsia="仿宋_GB2312" w:cs="宋体"/>
                <w:i w:val="0"/>
                <w:iCs w:val="0"/>
                <w:kern w:val="0"/>
                <w:sz w:val="24"/>
                <w:szCs w:val="24"/>
                <w:u w:val="none"/>
                <w:lang w:val="en-US" w:eastAsia="zh-CN" w:bidi="ar"/>
              </w:rPr>
              <w:t>50万元-300万元</w:t>
            </w:r>
          </w:p>
        </w:tc>
        <w:tc>
          <w:tcPr>
            <w:tcW w:w="3790" w:type="dxa"/>
            <w:tcBorders>
              <w:top w:val="single" w:color="auto" w:sz="4" w:space="0"/>
              <w:left w:val="nil"/>
              <w:bottom w:val="single" w:color="auto" w:sz="4" w:space="0"/>
              <w:right w:val="single" w:color="auto" w:sz="4" w:space="0"/>
            </w:tcBorders>
            <w:shd w:val="clear" w:color="auto" w:fill="auto"/>
            <w:vAlign w:val="center"/>
          </w:tcPr>
          <w:p w14:paraId="6B58A8F1">
            <w:pPr>
              <w:widowControl/>
              <w:jc w:val="center"/>
              <w:rPr>
                <w:rFonts w:hint="eastAsia" w:ascii="仿宋_GB2312" w:hAnsi="等线" w:eastAsia="仿宋_GB2312" w:cs="宋体"/>
                <w:b w:val="0"/>
                <w:bCs w:val="0"/>
                <w:kern w:val="0"/>
                <w:sz w:val="24"/>
                <w:szCs w:val="24"/>
              </w:rPr>
            </w:pPr>
          </w:p>
        </w:tc>
      </w:tr>
      <w:tr w14:paraId="4E2748B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484269B">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i w:val="0"/>
                <w:iCs w:val="0"/>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9B21EC0">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YonSuite</w:t>
            </w:r>
          </w:p>
        </w:tc>
        <w:tc>
          <w:tcPr>
            <w:tcW w:w="2318" w:type="dxa"/>
            <w:tcBorders>
              <w:top w:val="single" w:color="auto" w:sz="4" w:space="0"/>
              <w:left w:val="nil"/>
              <w:bottom w:val="single" w:color="auto" w:sz="4" w:space="0"/>
              <w:right w:val="single" w:color="auto" w:sz="4" w:space="0"/>
            </w:tcBorders>
            <w:shd w:val="clear" w:color="auto" w:fill="auto"/>
            <w:vAlign w:val="center"/>
          </w:tcPr>
          <w:p w14:paraId="7EBAB1DF">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rPr>
              <w:t>数字化改造相关的软件和云服务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5C5E9C0D">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用友YonSuite集成了财务管理、供应链、生产管理、HR、CRM、项目管理、数据分析及协同办公等功能，支持企业全面数字化运营。</w:t>
            </w:r>
          </w:p>
        </w:tc>
        <w:tc>
          <w:tcPr>
            <w:tcW w:w="1551" w:type="dxa"/>
            <w:tcBorders>
              <w:top w:val="single" w:color="auto" w:sz="4" w:space="0"/>
              <w:left w:val="nil"/>
              <w:bottom w:val="single" w:color="auto" w:sz="4" w:space="0"/>
              <w:right w:val="single" w:color="auto" w:sz="4" w:space="0"/>
            </w:tcBorders>
            <w:shd w:val="clear" w:color="auto" w:fill="auto"/>
            <w:vAlign w:val="center"/>
          </w:tcPr>
          <w:p w14:paraId="1CB91FA9">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5万元-100万元</w:t>
            </w:r>
          </w:p>
        </w:tc>
        <w:tc>
          <w:tcPr>
            <w:tcW w:w="3790" w:type="dxa"/>
            <w:tcBorders>
              <w:top w:val="single" w:color="auto" w:sz="4" w:space="0"/>
              <w:left w:val="nil"/>
              <w:bottom w:val="single" w:color="auto" w:sz="4" w:space="0"/>
              <w:right w:val="single" w:color="auto" w:sz="4" w:space="0"/>
            </w:tcBorders>
            <w:shd w:val="clear" w:color="auto" w:fill="auto"/>
            <w:vAlign w:val="center"/>
          </w:tcPr>
          <w:p w14:paraId="7DEDC278">
            <w:pPr>
              <w:widowControl/>
              <w:jc w:val="center"/>
              <w:rPr>
                <w:rFonts w:hint="eastAsia" w:ascii="仿宋_GB2312" w:hAnsi="等线" w:eastAsia="仿宋_GB2312" w:cs="宋体"/>
                <w:b w:val="0"/>
                <w:bCs w:val="0"/>
                <w:kern w:val="0"/>
                <w:sz w:val="24"/>
                <w:szCs w:val="24"/>
              </w:rPr>
            </w:pPr>
          </w:p>
        </w:tc>
      </w:tr>
      <w:tr w14:paraId="5A0DF7C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42307B7">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i w:val="0"/>
                <w:iCs w:val="0"/>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0EAAFE42">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数据应用服务</w:t>
            </w:r>
          </w:p>
        </w:tc>
        <w:tc>
          <w:tcPr>
            <w:tcW w:w="2318" w:type="dxa"/>
            <w:tcBorders>
              <w:top w:val="single" w:color="auto" w:sz="4" w:space="0"/>
              <w:left w:val="nil"/>
              <w:bottom w:val="single" w:color="auto" w:sz="4" w:space="0"/>
              <w:right w:val="single" w:color="auto" w:sz="4" w:space="0"/>
            </w:tcBorders>
            <w:shd w:val="clear" w:color="auto" w:fill="auto"/>
            <w:vAlign w:val="center"/>
          </w:tcPr>
          <w:p w14:paraId="2226CDAE">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rPr>
              <w:t>数字化改造相关的软件和云服务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35D2F745">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用友数据应用服务提供数据集成、清洗、分析、报表生成及可视化展示等功能，支持企业决策制定和业务优化。</w:t>
            </w:r>
          </w:p>
        </w:tc>
        <w:tc>
          <w:tcPr>
            <w:tcW w:w="1551" w:type="dxa"/>
            <w:tcBorders>
              <w:top w:val="single" w:color="auto" w:sz="4" w:space="0"/>
              <w:left w:val="nil"/>
              <w:bottom w:val="single" w:color="auto" w:sz="4" w:space="0"/>
              <w:right w:val="single" w:color="auto" w:sz="4" w:space="0"/>
            </w:tcBorders>
            <w:shd w:val="clear" w:color="auto" w:fill="auto"/>
            <w:vAlign w:val="center"/>
          </w:tcPr>
          <w:p w14:paraId="5E360288">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5万元-20万元</w:t>
            </w:r>
          </w:p>
        </w:tc>
        <w:tc>
          <w:tcPr>
            <w:tcW w:w="3790" w:type="dxa"/>
            <w:tcBorders>
              <w:top w:val="single" w:color="auto" w:sz="4" w:space="0"/>
              <w:left w:val="nil"/>
              <w:bottom w:val="single" w:color="auto" w:sz="4" w:space="0"/>
              <w:right w:val="single" w:color="auto" w:sz="4" w:space="0"/>
            </w:tcBorders>
            <w:shd w:val="clear" w:color="auto" w:fill="auto"/>
            <w:vAlign w:val="center"/>
          </w:tcPr>
          <w:p w14:paraId="3A762F7A">
            <w:pPr>
              <w:widowControl/>
              <w:jc w:val="center"/>
              <w:rPr>
                <w:rFonts w:hint="eastAsia" w:ascii="仿宋_GB2312" w:hAnsi="等线" w:eastAsia="仿宋_GB2312" w:cs="宋体"/>
                <w:b w:val="0"/>
                <w:bCs w:val="0"/>
                <w:kern w:val="0"/>
                <w:sz w:val="24"/>
                <w:szCs w:val="24"/>
              </w:rPr>
            </w:pPr>
          </w:p>
        </w:tc>
      </w:tr>
      <w:tr w14:paraId="149386B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613A6CC">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i w:val="0"/>
                <w:iCs w:val="0"/>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6CD82960">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PLM Cloud</w:t>
            </w:r>
          </w:p>
        </w:tc>
        <w:tc>
          <w:tcPr>
            <w:tcW w:w="2318" w:type="dxa"/>
            <w:tcBorders>
              <w:top w:val="single" w:color="auto" w:sz="4" w:space="0"/>
              <w:left w:val="nil"/>
              <w:bottom w:val="single" w:color="auto" w:sz="4" w:space="0"/>
              <w:right w:val="single" w:color="auto" w:sz="4" w:space="0"/>
            </w:tcBorders>
            <w:shd w:val="clear" w:color="auto" w:fill="auto"/>
            <w:vAlign w:val="center"/>
          </w:tcPr>
          <w:p w14:paraId="66006E91">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rPr>
              <w:t>数字化改造相关的软件和云服务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61E461DC">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用友PLM Cloud提供产品数据管理、设计协同、变更管理、文档控制及生命周期管理等功能，助力企业高效管理产品开发流程。</w:t>
            </w:r>
          </w:p>
        </w:tc>
        <w:tc>
          <w:tcPr>
            <w:tcW w:w="1551" w:type="dxa"/>
            <w:tcBorders>
              <w:top w:val="single" w:color="auto" w:sz="4" w:space="0"/>
              <w:left w:val="nil"/>
              <w:bottom w:val="single" w:color="auto" w:sz="4" w:space="0"/>
              <w:right w:val="single" w:color="auto" w:sz="4" w:space="0"/>
            </w:tcBorders>
            <w:shd w:val="clear" w:color="auto" w:fill="auto"/>
            <w:vAlign w:val="center"/>
          </w:tcPr>
          <w:p w14:paraId="4981A1B5">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20万元-100万元</w:t>
            </w:r>
          </w:p>
        </w:tc>
        <w:tc>
          <w:tcPr>
            <w:tcW w:w="3790" w:type="dxa"/>
            <w:tcBorders>
              <w:top w:val="single" w:color="auto" w:sz="4" w:space="0"/>
              <w:left w:val="nil"/>
              <w:bottom w:val="single" w:color="auto" w:sz="4" w:space="0"/>
              <w:right w:val="single" w:color="auto" w:sz="4" w:space="0"/>
            </w:tcBorders>
            <w:shd w:val="clear" w:color="auto" w:fill="auto"/>
            <w:vAlign w:val="center"/>
          </w:tcPr>
          <w:p w14:paraId="3FBC9A44">
            <w:pPr>
              <w:widowControl/>
              <w:jc w:val="center"/>
              <w:rPr>
                <w:rFonts w:hint="eastAsia" w:ascii="仿宋_GB2312" w:hAnsi="等线" w:eastAsia="仿宋_GB2312" w:cs="宋体"/>
                <w:b w:val="0"/>
                <w:bCs w:val="0"/>
                <w:kern w:val="0"/>
                <w:sz w:val="24"/>
                <w:szCs w:val="24"/>
              </w:rPr>
            </w:pPr>
          </w:p>
        </w:tc>
      </w:tr>
      <w:tr w14:paraId="1F28EAB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5A91BC1">
            <w:pPr>
              <w:keepNext w:val="0"/>
              <w:keepLines w:val="0"/>
              <w:widowControl/>
              <w:suppressLineNumbers w:val="0"/>
              <w:jc w:val="center"/>
              <w:textAlignment w:val="auto"/>
              <w:rPr>
                <w:rFonts w:hint="eastAsia" w:ascii="仿宋_GB2312" w:hAnsi="等线" w:eastAsia="仿宋_GB2312" w:cs="宋体"/>
                <w:b w:val="0"/>
                <w:bCs w:val="0"/>
                <w:kern w:val="0"/>
                <w:sz w:val="24"/>
                <w:szCs w:val="24"/>
                <w:lang w:val="en-US" w:eastAsia="zh-CN"/>
              </w:rPr>
            </w:pPr>
            <w:r>
              <w:rPr>
                <w:rFonts w:hint="eastAsia" w:ascii="仿宋_GB2312" w:hAnsi="等线" w:eastAsia="仿宋_GB2312" w:cs="宋体"/>
                <w:b w:val="0"/>
                <w:bCs w:val="0"/>
                <w:kern w:val="0"/>
                <w:sz w:val="24"/>
                <w:szCs w:val="24"/>
                <w:lang w:val="en-US" w:eastAsia="zh-CN"/>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6E794EF1">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YonBIP</w:t>
            </w:r>
          </w:p>
        </w:tc>
        <w:tc>
          <w:tcPr>
            <w:tcW w:w="2318" w:type="dxa"/>
            <w:tcBorders>
              <w:top w:val="single" w:color="auto" w:sz="4" w:space="0"/>
              <w:left w:val="nil"/>
              <w:bottom w:val="single" w:color="auto" w:sz="4" w:space="0"/>
              <w:right w:val="single" w:color="auto" w:sz="4" w:space="0"/>
            </w:tcBorders>
            <w:shd w:val="clear" w:color="auto" w:fill="auto"/>
            <w:vAlign w:val="center"/>
          </w:tcPr>
          <w:p w14:paraId="1993A892">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rPr>
              <w:t>数字化改造相关的软件和云服务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54D24CF8">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用友YonBIP提供财务管理、供应链管理、生产制造、人力资源、CRM、项目管理、数据分析及协同办公等功能，支持企业数字化转型。</w:t>
            </w:r>
          </w:p>
        </w:tc>
        <w:tc>
          <w:tcPr>
            <w:tcW w:w="1551" w:type="dxa"/>
            <w:tcBorders>
              <w:top w:val="single" w:color="auto" w:sz="4" w:space="0"/>
              <w:left w:val="nil"/>
              <w:bottom w:val="single" w:color="auto" w:sz="4" w:space="0"/>
              <w:right w:val="single" w:color="auto" w:sz="4" w:space="0"/>
            </w:tcBorders>
            <w:shd w:val="clear" w:color="auto" w:fill="auto"/>
            <w:vAlign w:val="center"/>
          </w:tcPr>
          <w:p w14:paraId="0E2A99A1">
            <w:pPr>
              <w:keepNext w:val="0"/>
              <w:keepLines w:val="0"/>
              <w:widowControl/>
              <w:suppressLineNumbers w:val="0"/>
              <w:jc w:val="left"/>
              <w:textAlignment w:val="auto"/>
              <w:rPr>
                <w:rFonts w:hint="eastAsia" w:ascii="仿宋_GB2312" w:hAnsi="等线" w:eastAsia="仿宋_GB2312" w:cs="宋体"/>
                <w:b w:val="0"/>
                <w:bCs w:val="0"/>
                <w:kern w:val="0"/>
                <w:sz w:val="24"/>
                <w:szCs w:val="24"/>
                <w:lang w:val="en-US"/>
              </w:rPr>
            </w:pPr>
            <w:r>
              <w:rPr>
                <w:rFonts w:hint="eastAsia" w:ascii="仿宋_GB2312" w:hAnsi="等线" w:eastAsia="仿宋_GB2312" w:cs="宋体"/>
                <w:i w:val="0"/>
                <w:iCs w:val="0"/>
                <w:kern w:val="0"/>
                <w:sz w:val="24"/>
                <w:szCs w:val="24"/>
                <w:u w:val="none"/>
                <w:lang w:val="en-US" w:eastAsia="zh-CN" w:bidi="ar"/>
              </w:rPr>
              <w:t>50万元-500万元</w:t>
            </w:r>
          </w:p>
        </w:tc>
        <w:tc>
          <w:tcPr>
            <w:tcW w:w="3790" w:type="dxa"/>
            <w:tcBorders>
              <w:top w:val="single" w:color="auto" w:sz="4" w:space="0"/>
              <w:left w:val="nil"/>
              <w:bottom w:val="single" w:color="auto" w:sz="4" w:space="0"/>
              <w:right w:val="single" w:color="auto" w:sz="4" w:space="0"/>
            </w:tcBorders>
            <w:shd w:val="clear" w:color="auto" w:fill="auto"/>
            <w:vAlign w:val="center"/>
          </w:tcPr>
          <w:p w14:paraId="06639825">
            <w:pPr>
              <w:widowControl/>
              <w:jc w:val="center"/>
              <w:rPr>
                <w:rFonts w:hint="eastAsia" w:ascii="仿宋_GB2312" w:hAnsi="等线" w:eastAsia="仿宋_GB2312" w:cs="宋体"/>
                <w:b w:val="0"/>
                <w:bCs w:val="0"/>
                <w:kern w:val="0"/>
                <w:sz w:val="24"/>
                <w:szCs w:val="24"/>
              </w:rPr>
            </w:pPr>
          </w:p>
        </w:tc>
      </w:tr>
    </w:tbl>
    <w:p w14:paraId="356E6C98">
      <w:pPr>
        <w:rPr>
          <w:rFonts w:hint="eastAsia" w:ascii="仿宋_GB2312" w:hAnsi="仿宋_GB2312" w:eastAsia="仿宋_GB2312" w:cs="仿宋_GB2312"/>
          <w:bCs/>
          <w:sz w:val="32"/>
          <w:szCs w:val="32"/>
          <w:lang w:eastAsia="zh-CN"/>
        </w:rPr>
      </w:pPr>
    </w:p>
    <w:p w14:paraId="4E9B690F">
      <w:pPr>
        <w:pStyle w:val="2"/>
        <w:rPr>
          <w:rFonts w:hint="eastAsia" w:ascii="仿宋_GB2312" w:hAnsi="仿宋_GB2312" w:eastAsia="仿宋_GB2312" w:cs="仿宋_GB2312"/>
          <w:bCs/>
          <w:sz w:val="32"/>
          <w:szCs w:val="32"/>
          <w:lang w:eastAsia="zh-CN"/>
        </w:rPr>
      </w:pPr>
    </w:p>
    <w:p w14:paraId="6F9E2018">
      <w:pPr>
        <w:pStyle w:val="2"/>
        <w:rPr>
          <w:rFonts w:hint="eastAsia" w:ascii="仿宋_GB2312" w:hAnsi="仿宋_GB2312" w:eastAsia="仿宋_GB2312" w:cs="仿宋_GB2312"/>
          <w:bCs/>
          <w:sz w:val="32"/>
          <w:szCs w:val="32"/>
          <w:lang w:eastAsia="zh-CN"/>
        </w:rPr>
      </w:pPr>
    </w:p>
    <w:p w14:paraId="5F9B701C">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五</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联合体成员：广东亿迅科技有限公司 </w:t>
      </w:r>
    </w:p>
    <w:tbl>
      <w:tblPr>
        <w:tblStyle w:val="14"/>
        <w:tblW w:w="0" w:type="auto"/>
        <w:tblInd w:w="113" w:type="dxa"/>
        <w:tblLayout w:type="autofit"/>
        <w:tblCellMar>
          <w:top w:w="0" w:type="dxa"/>
          <w:left w:w="108" w:type="dxa"/>
          <w:bottom w:w="0" w:type="dxa"/>
          <w:right w:w="108" w:type="dxa"/>
        </w:tblCellMar>
      </w:tblPr>
      <w:tblGrid>
        <w:gridCol w:w="789"/>
        <w:gridCol w:w="1501"/>
        <w:gridCol w:w="2310"/>
        <w:gridCol w:w="4440"/>
        <w:gridCol w:w="1500"/>
        <w:gridCol w:w="3832"/>
      </w:tblGrid>
      <w:tr w14:paraId="4FF4908A">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5581B5F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01" w:type="dxa"/>
            <w:tcBorders>
              <w:top w:val="single" w:color="auto" w:sz="4" w:space="0"/>
              <w:left w:val="nil"/>
              <w:bottom w:val="single" w:color="auto" w:sz="4" w:space="0"/>
              <w:right w:val="single" w:color="auto" w:sz="4" w:space="0"/>
            </w:tcBorders>
            <w:shd w:val="clear" w:color="auto" w:fill="auto"/>
            <w:vAlign w:val="center"/>
          </w:tcPr>
          <w:p w14:paraId="60844D1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0" w:type="dxa"/>
            <w:tcBorders>
              <w:top w:val="single" w:color="auto" w:sz="4" w:space="0"/>
              <w:left w:val="nil"/>
              <w:bottom w:val="single" w:color="auto" w:sz="4" w:space="0"/>
              <w:right w:val="single" w:color="auto" w:sz="4" w:space="0"/>
            </w:tcBorders>
            <w:shd w:val="clear" w:color="auto" w:fill="auto"/>
            <w:vAlign w:val="center"/>
          </w:tcPr>
          <w:p w14:paraId="671A131B">
            <w:pPr>
              <w:widowControl/>
              <w:jc w:val="right"/>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440" w:type="dxa"/>
            <w:tcBorders>
              <w:top w:val="single" w:color="auto" w:sz="4" w:space="0"/>
              <w:left w:val="nil"/>
              <w:bottom w:val="single" w:color="auto" w:sz="4" w:space="0"/>
              <w:right w:val="single" w:color="auto" w:sz="4" w:space="0"/>
            </w:tcBorders>
            <w:shd w:val="clear" w:color="auto" w:fill="auto"/>
            <w:vAlign w:val="center"/>
          </w:tcPr>
          <w:p w14:paraId="6A48DB5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00" w:type="dxa"/>
            <w:tcBorders>
              <w:top w:val="single" w:color="auto" w:sz="4" w:space="0"/>
              <w:left w:val="nil"/>
              <w:bottom w:val="single" w:color="auto" w:sz="4" w:space="0"/>
              <w:right w:val="single" w:color="auto" w:sz="4" w:space="0"/>
            </w:tcBorders>
            <w:shd w:val="clear" w:color="auto" w:fill="auto"/>
            <w:vAlign w:val="center"/>
          </w:tcPr>
          <w:p w14:paraId="353EABCC">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832" w:type="dxa"/>
            <w:tcBorders>
              <w:top w:val="single" w:color="auto" w:sz="4" w:space="0"/>
              <w:left w:val="nil"/>
              <w:bottom w:val="single" w:color="auto" w:sz="4" w:space="0"/>
              <w:right w:val="single" w:color="auto" w:sz="4" w:space="0"/>
            </w:tcBorders>
            <w:shd w:val="clear" w:color="auto" w:fill="auto"/>
            <w:vAlign w:val="center"/>
          </w:tcPr>
          <w:p w14:paraId="5A0A718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3F8C8D99">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3FA0156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01" w:type="dxa"/>
            <w:tcBorders>
              <w:top w:val="single" w:color="auto" w:sz="4" w:space="0"/>
              <w:left w:val="nil"/>
              <w:bottom w:val="single" w:color="auto" w:sz="4" w:space="0"/>
              <w:right w:val="single" w:color="auto" w:sz="4" w:space="0"/>
            </w:tcBorders>
            <w:shd w:val="clear" w:color="auto" w:fill="auto"/>
            <w:vAlign w:val="center"/>
          </w:tcPr>
          <w:p w14:paraId="36932741">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天翼云仓</w:t>
            </w:r>
          </w:p>
          <w:p w14:paraId="39813C49">
            <w:pPr>
              <w:widowControl/>
              <w:jc w:val="center"/>
              <w:rPr>
                <w:rFonts w:hint="eastAsia" w:ascii="仿宋_GB2312" w:hAnsi="等线" w:eastAsia="仿宋_GB2312" w:cs="宋体"/>
                <w:kern w:val="0"/>
                <w:sz w:val="24"/>
                <w:szCs w:val="24"/>
                <w:lang w:val="en-US" w:eastAsia="zh-CN" w:bidi="ar-SA"/>
              </w:rPr>
            </w:pPr>
          </w:p>
        </w:tc>
        <w:tc>
          <w:tcPr>
            <w:tcW w:w="2310" w:type="dxa"/>
            <w:tcBorders>
              <w:top w:val="single" w:color="auto" w:sz="4" w:space="0"/>
              <w:left w:val="nil"/>
              <w:bottom w:val="single" w:color="auto" w:sz="4" w:space="0"/>
              <w:right w:val="single" w:color="auto" w:sz="4" w:space="0"/>
            </w:tcBorders>
            <w:shd w:val="clear" w:color="auto" w:fill="auto"/>
            <w:vAlign w:val="center"/>
          </w:tcPr>
          <w:p w14:paraId="60C600CF">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生产制造</w:t>
            </w:r>
          </w:p>
          <w:p w14:paraId="6D9973F5">
            <w:pPr>
              <w:widowControl/>
              <w:jc w:val="left"/>
              <w:rPr>
                <w:rFonts w:hint="eastAsia" w:ascii="仿宋_GB2312" w:hAnsi="等线" w:eastAsia="仿宋_GB2312" w:cs="宋体"/>
                <w:kern w:val="0"/>
                <w:sz w:val="24"/>
                <w:szCs w:val="24"/>
                <w:lang w:val="en-US" w:eastAsia="zh-CN" w:bidi="ar-SA"/>
              </w:rPr>
            </w:pPr>
          </w:p>
        </w:tc>
        <w:tc>
          <w:tcPr>
            <w:tcW w:w="4440" w:type="dxa"/>
            <w:tcBorders>
              <w:top w:val="single" w:color="auto" w:sz="4" w:space="0"/>
              <w:left w:val="nil"/>
              <w:bottom w:val="single" w:color="auto" w:sz="4" w:space="0"/>
              <w:right w:val="single" w:color="auto" w:sz="4" w:space="0"/>
            </w:tcBorders>
            <w:shd w:val="clear" w:color="auto" w:fill="auto"/>
            <w:vAlign w:val="center"/>
          </w:tcPr>
          <w:p w14:paraId="43BF1581">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协作化的作业流程管理、作业全程的条码化管理、精细化的库位管理、高效的策略管理</w:t>
            </w:r>
          </w:p>
          <w:p w14:paraId="19E831AB">
            <w:pPr>
              <w:widowControl/>
              <w:jc w:val="left"/>
              <w:rPr>
                <w:rFonts w:hint="eastAsia" w:ascii="仿宋_GB2312" w:hAnsi="等线" w:eastAsia="仿宋_GB2312" w:cs="宋体"/>
                <w:kern w:val="0"/>
                <w:sz w:val="24"/>
                <w:szCs w:val="24"/>
                <w:lang w:val="en-US" w:eastAsia="zh-CN" w:bidi="ar-SA"/>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270A1B40">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20万元-50万元</w:t>
            </w:r>
          </w:p>
          <w:p w14:paraId="59B0DCA1">
            <w:pPr>
              <w:widowControl/>
              <w:jc w:val="left"/>
              <w:rPr>
                <w:rFonts w:hint="eastAsia" w:ascii="仿宋_GB2312" w:hAnsi="等线" w:eastAsia="仿宋_GB2312" w:cs="宋体"/>
                <w:kern w:val="0"/>
                <w:sz w:val="24"/>
                <w:szCs w:val="24"/>
                <w:lang w:val="en-US" w:eastAsia="zh-CN" w:bidi="ar-SA"/>
              </w:rPr>
            </w:pPr>
          </w:p>
        </w:tc>
        <w:tc>
          <w:tcPr>
            <w:tcW w:w="3832" w:type="dxa"/>
            <w:tcBorders>
              <w:top w:val="single" w:color="auto" w:sz="4" w:space="0"/>
              <w:left w:val="nil"/>
              <w:bottom w:val="single" w:color="auto" w:sz="4" w:space="0"/>
              <w:right w:val="single" w:color="auto" w:sz="4" w:space="0"/>
            </w:tcBorders>
            <w:shd w:val="clear" w:color="auto" w:fill="auto"/>
            <w:vAlign w:val="center"/>
          </w:tcPr>
          <w:p w14:paraId="3E17D984">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光普集团-凯胜金属</w:t>
            </w:r>
          </w:p>
          <w:p w14:paraId="5F5AC79D">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案例详情助力凯胜仓进行数字化改</w:t>
            </w:r>
          </w:p>
          <w:p w14:paraId="14E7346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造，实现钢卷从入库、出库、加工、打包全流程管理，借助数据化立体库实现钢卷一键扫码入库和出库，同时对关键业务节点状态实时推送客户，在提高业务作业效率同时提升了司机和客户的业务体验</w:t>
            </w:r>
          </w:p>
        </w:tc>
      </w:tr>
      <w:tr w14:paraId="2C1D4860">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61EDE0C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01" w:type="dxa"/>
            <w:tcBorders>
              <w:top w:val="single" w:color="auto" w:sz="4" w:space="0"/>
              <w:left w:val="nil"/>
              <w:bottom w:val="single" w:color="auto" w:sz="4" w:space="0"/>
              <w:right w:val="single" w:color="auto" w:sz="4" w:space="0"/>
            </w:tcBorders>
            <w:shd w:val="clear" w:color="auto" w:fill="auto"/>
            <w:vAlign w:val="center"/>
          </w:tcPr>
          <w:p w14:paraId="4AF5A73A">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OA系统</w:t>
            </w:r>
          </w:p>
          <w:p w14:paraId="4C6C1939">
            <w:pPr>
              <w:widowControl/>
              <w:jc w:val="center"/>
              <w:rPr>
                <w:rFonts w:hint="eastAsia" w:ascii="仿宋_GB2312" w:hAnsi="等线" w:eastAsia="仿宋_GB2312" w:cs="宋体"/>
                <w:kern w:val="0"/>
                <w:sz w:val="24"/>
                <w:szCs w:val="24"/>
                <w:lang w:val="en-US" w:eastAsia="zh-CN" w:bidi="ar-SA"/>
              </w:rPr>
            </w:pPr>
          </w:p>
        </w:tc>
        <w:tc>
          <w:tcPr>
            <w:tcW w:w="2310" w:type="dxa"/>
            <w:tcBorders>
              <w:top w:val="single" w:color="auto" w:sz="4" w:space="0"/>
              <w:left w:val="nil"/>
              <w:bottom w:val="single" w:color="auto" w:sz="4" w:space="0"/>
              <w:right w:val="single" w:color="auto" w:sz="4" w:space="0"/>
            </w:tcBorders>
            <w:shd w:val="clear" w:color="auto" w:fill="auto"/>
            <w:vAlign w:val="center"/>
          </w:tcPr>
          <w:p w14:paraId="05D2CB16">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经营管理</w:t>
            </w:r>
          </w:p>
          <w:p w14:paraId="0ED4E987">
            <w:pPr>
              <w:widowControl/>
              <w:jc w:val="left"/>
              <w:rPr>
                <w:rFonts w:hint="eastAsia" w:ascii="仿宋_GB2312" w:hAnsi="等线" w:eastAsia="仿宋_GB2312" w:cs="宋体"/>
                <w:kern w:val="0"/>
                <w:sz w:val="24"/>
                <w:szCs w:val="24"/>
                <w:lang w:val="en-US" w:eastAsia="zh-CN" w:bidi="ar-SA"/>
              </w:rPr>
            </w:pPr>
          </w:p>
        </w:tc>
        <w:tc>
          <w:tcPr>
            <w:tcW w:w="4440" w:type="dxa"/>
            <w:tcBorders>
              <w:top w:val="single" w:color="auto" w:sz="4" w:space="0"/>
              <w:left w:val="nil"/>
              <w:bottom w:val="single" w:color="auto" w:sz="4" w:space="0"/>
              <w:right w:val="single" w:color="auto" w:sz="4" w:space="0"/>
            </w:tcBorders>
            <w:shd w:val="clear" w:color="auto" w:fill="auto"/>
            <w:vAlign w:val="center"/>
          </w:tcPr>
          <w:p w14:paraId="361A9428">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OA系统主要的功能模块包括：电子公文、督查督办、会议管理、综合办公、个人工作台、信息管理、表单定义、流程管控、日志</w:t>
            </w:r>
          </w:p>
          <w:p w14:paraId="62B2F8CE">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管理、统一用户管理、移动端等内容，系统支持国产化环境，打造“全方位整合、全业务协同、高效沟通”的内部办公平台。</w:t>
            </w:r>
          </w:p>
          <w:p w14:paraId="2BBA22F7">
            <w:pPr>
              <w:widowControl/>
              <w:jc w:val="left"/>
              <w:rPr>
                <w:rFonts w:hint="eastAsia" w:ascii="仿宋_GB2312" w:hAnsi="等线" w:eastAsia="仿宋_GB2312" w:cs="宋体"/>
                <w:kern w:val="0"/>
                <w:sz w:val="24"/>
                <w:szCs w:val="24"/>
                <w:lang w:val="en-US" w:eastAsia="zh-CN" w:bidi="ar-SA"/>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4FE745E1">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20万元-50万元</w:t>
            </w:r>
          </w:p>
          <w:p w14:paraId="31D10F9B">
            <w:pPr>
              <w:widowControl/>
              <w:jc w:val="left"/>
              <w:rPr>
                <w:rFonts w:hint="eastAsia" w:ascii="仿宋_GB2312" w:hAnsi="等线" w:eastAsia="仿宋_GB2312" w:cs="宋体"/>
                <w:kern w:val="0"/>
                <w:sz w:val="24"/>
                <w:szCs w:val="24"/>
                <w:lang w:val="en-US" w:eastAsia="zh-CN" w:bidi="ar-SA"/>
              </w:rPr>
            </w:pPr>
          </w:p>
        </w:tc>
        <w:tc>
          <w:tcPr>
            <w:tcW w:w="3832" w:type="dxa"/>
            <w:tcBorders>
              <w:top w:val="single" w:color="auto" w:sz="4" w:space="0"/>
              <w:left w:val="nil"/>
              <w:bottom w:val="single" w:color="auto" w:sz="4" w:space="0"/>
              <w:right w:val="single" w:color="auto" w:sz="4" w:space="0"/>
            </w:tcBorders>
            <w:shd w:val="clear" w:color="auto" w:fill="auto"/>
            <w:vAlign w:val="center"/>
          </w:tcPr>
          <w:p w14:paraId="62FA4F5A">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阜阳徽一OA </w:t>
            </w:r>
          </w:p>
          <w:p w14:paraId="06B4C1F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阜阳徽一通讯有限公司每天都有大量的商业信函、公文等往来，同时还有各种会议、各种文档、各种批件等管理工作，因此需</w:t>
            </w:r>
          </w:p>
          <w:p w14:paraId="290FDA4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要一套先进、高效率、覆盖全企业的办公自动化软件，提供文件管理功能，充分发挥协同办公的作用</w:t>
            </w:r>
          </w:p>
        </w:tc>
      </w:tr>
      <w:tr w14:paraId="2D5FD84D">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6AAEE0E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01" w:type="dxa"/>
            <w:tcBorders>
              <w:top w:val="single" w:color="auto" w:sz="4" w:space="0"/>
              <w:left w:val="nil"/>
              <w:bottom w:val="single" w:color="auto" w:sz="4" w:space="0"/>
              <w:right w:val="single" w:color="auto" w:sz="4" w:space="0"/>
            </w:tcBorders>
            <w:shd w:val="clear" w:color="auto" w:fill="auto"/>
            <w:vAlign w:val="center"/>
          </w:tcPr>
          <w:p w14:paraId="667A9D6B">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BPM流程引擎</w:t>
            </w:r>
          </w:p>
          <w:p w14:paraId="12D0CDA0">
            <w:pPr>
              <w:widowControl/>
              <w:jc w:val="center"/>
              <w:rPr>
                <w:rFonts w:hint="eastAsia" w:ascii="仿宋_GB2312" w:hAnsi="等线" w:eastAsia="仿宋_GB2312" w:cs="宋体"/>
                <w:kern w:val="0"/>
                <w:sz w:val="24"/>
                <w:szCs w:val="24"/>
                <w:lang w:val="en-US" w:eastAsia="zh-CN" w:bidi="ar-SA"/>
              </w:rPr>
            </w:pPr>
          </w:p>
        </w:tc>
        <w:tc>
          <w:tcPr>
            <w:tcW w:w="2310" w:type="dxa"/>
            <w:tcBorders>
              <w:top w:val="single" w:color="auto" w:sz="4" w:space="0"/>
              <w:left w:val="nil"/>
              <w:bottom w:val="single" w:color="auto" w:sz="4" w:space="0"/>
              <w:right w:val="single" w:color="auto" w:sz="4" w:space="0"/>
            </w:tcBorders>
            <w:shd w:val="clear" w:color="auto" w:fill="auto"/>
            <w:vAlign w:val="center"/>
          </w:tcPr>
          <w:p w14:paraId="23DFA6A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经营管理</w:t>
            </w:r>
          </w:p>
          <w:p w14:paraId="09D49260">
            <w:pPr>
              <w:widowControl/>
              <w:jc w:val="left"/>
              <w:rPr>
                <w:rFonts w:hint="eastAsia" w:ascii="仿宋_GB2312" w:hAnsi="等线" w:eastAsia="仿宋_GB2312" w:cs="宋体"/>
                <w:kern w:val="0"/>
                <w:sz w:val="24"/>
                <w:szCs w:val="24"/>
                <w:lang w:val="en-US" w:eastAsia="zh-CN" w:bidi="ar-SA"/>
              </w:rPr>
            </w:pPr>
          </w:p>
        </w:tc>
        <w:tc>
          <w:tcPr>
            <w:tcW w:w="4440" w:type="dxa"/>
            <w:tcBorders>
              <w:top w:val="single" w:color="auto" w:sz="4" w:space="0"/>
              <w:left w:val="nil"/>
              <w:bottom w:val="single" w:color="auto" w:sz="4" w:space="0"/>
              <w:right w:val="single" w:color="auto" w:sz="4" w:space="0"/>
            </w:tcBorders>
            <w:shd w:val="clear" w:color="auto" w:fill="auto"/>
            <w:vAlign w:val="center"/>
          </w:tcPr>
          <w:p w14:paraId="5BA5DA90">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提供BPM流程引擎功能，包括实例管理、流程设计、基础管理、报表管理功能 </w:t>
            </w:r>
          </w:p>
          <w:p w14:paraId="7F6C09A0">
            <w:pPr>
              <w:widowControl/>
              <w:jc w:val="left"/>
              <w:rPr>
                <w:rFonts w:hint="eastAsia" w:ascii="仿宋_GB2312" w:hAnsi="等线" w:eastAsia="仿宋_GB2312" w:cs="宋体"/>
                <w:kern w:val="0"/>
                <w:sz w:val="24"/>
                <w:szCs w:val="24"/>
                <w:lang w:val="en-US" w:eastAsia="zh-CN" w:bidi="ar-SA"/>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711490A9">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20万元-50万元</w:t>
            </w:r>
          </w:p>
          <w:p w14:paraId="5EE7585B">
            <w:pPr>
              <w:widowControl/>
              <w:jc w:val="left"/>
              <w:rPr>
                <w:rFonts w:hint="eastAsia" w:ascii="仿宋_GB2312" w:hAnsi="等线" w:eastAsia="仿宋_GB2312" w:cs="宋体"/>
                <w:kern w:val="0"/>
                <w:sz w:val="24"/>
                <w:szCs w:val="24"/>
                <w:lang w:val="en-US" w:eastAsia="zh-CN" w:bidi="ar-SA"/>
              </w:rPr>
            </w:pPr>
          </w:p>
        </w:tc>
        <w:tc>
          <w:tcPr>
            <w:tcW w:w="3832" w:type="dxa"/>
            <w:tcBorders>
              <w:top w:val="single" w:color="auto" w:sz="4" w:space="0"/>
              <w:left w:val="nil"/>
              <w:bottom w:val="single" w:color="auto" w:sz="4" w:space="0"/>
              <w:right w:val="single" w:color="auto" w:sz="4" w:space="0"/>
            </w:tcBorders>
            <w:shd w:val="clear" w:color="auto" w:fill="auto"/>
            <w:vAlign w:val="center"/>
          </w:tcPr>
          <w:p w14:paraId="7EFD66DE">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蒙城城市大脑工作流工作流平台主要分为六大模块：流程模型、表单配</w:t>
            </w:r>
          </w:p>
          <w:p w14:paraId="603F146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置、模型分类、待办事项、已办事项、流程配置。可以自定义流程模型，流程表单</w:t>
            </w:r>
          </w:p>
        </w:tc>
      </w:tr>
      <w:tr w14:paraId="1FD2B3B1">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04D885B2">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01" w:type="dxa"/>
            <w:tcBorders>
              <w:top w:val="single" w:color="auto" w:sz="4" w:space="0"/>
              <w:left w:val="nil"/>
              <w:bottom w:val="single" w:color="auto" w:sz="4" w:space="0"/>
              <w:right w:val="single" w:color="auto" w:sz="4" w:space="0"/>
            </w:tcBorders>
            <w:shd w:val="clear" w:color="auto" w:fill="auto"/>
            <w:vAlign w:val="center"/>
          </w:tcPr>
          <w:p w14:paraId="2B015014">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智慧工厂-设备管理数采</w:t>
            </w:r>
          </w:p>
        </w:tc>
        <w:tc>
          <w:tcPr>
            <w:tcW w:w="2310" w:type="dxa"/>
            <w:tcBorders>
              <w:top w:val="single" w:color="auto" w:sz="4" w:space="0"/>
              <w:left w:val="nil"/>
              <w:bottom w:val="single" w:color="auto" w:sz="4" w:space="0"/>
              <w:right w:val="single" w:color="auto" w:sz="4" w:space="0"/>
            </w:tcBorders>
            <w:shd w:val="clear" w:color="auto" w:fill="auto"/>
            <w:vAlign w:val="center"/>
          </w:tcPr>
          <w:p w14:paraId="43DF859C">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生产制造</w:t>
            </w:r>
          </w:p>
          <w:p w14:paraId="6A1BABAC">
            <w:pPr>
              <w:widowControl/>
              <w:jc w:val="left"/>
              <w:rPr>
                <w:rFonts w:hint="eastAsia" w:ascii="仿宋_GB2312" w:hAnsi="等线" w:eastAsia="仿宋_GB2312" w:cs="宋体"/>
                <w:kern w:val="0"/>
                <w:sz w:val="24"/>
                <w:szCs w:val="24"/>
                <w:lang w:val="en-US" w:eastAsia="zh-CN" w:bidi="ar-SA"/>
              </w:rPr>
            </w:pPr>
          </w:p>
        </w:tc>
        <w:tc>
          <w:tcPr>
            <w:tcW w:w="4440" w:type="dxa"/>
            <w:tcBorders>
              <w:top w:val="single" w:color="auto" w:sz="4" w:space="0"/>
              <w:left w:val="nil"/>
              <w:bottom w:val="single" w:color="auto" w:sz="4" w:space="0"/>
              <w:right w:val="single" w:color="auto" w:sz="4" w:space="0"/>
            </w:tcBorders>
            <w:shd w:val="clear" w:color="auto" w:fill="auto"/>
            <w:vAlign w:val="center"/>
          </w:tcPr>
          <w:p w14:paraId="5D788027">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功能包括产能分析、统计分析、设备运维、看板管理、ESOP、数据安全归档、工业专网、数据安全归档、故障告警</w:t>
            </w:r>
          </w:p>
          <w:p w14:paraId="6F41AEBB">
            <w:pPr>
              <w:widowControl/>
              <w:jc w:val="left"/>
              <w:rPr>
                <w:rFonts w:hint="eastAsia" w:ascii="仿宋_GB2312" w:hAnsi="等线" w:eastAsia="仿宋_GB2312" w:cs="宋体"/>
                <w:kern w:val="0"/>
                <w:sz w:val="24"/>
                <w:szCs w:val="24"/>
                <w:lang w:val="en-US" w:eastAsia="zh-CN" w:bidi="ar-SA"/>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09927F42">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20万元-50万元 </w:t>
            </w:r>
          </w:p>
          <w:p w14:paraId="19CD319F">
            <w:pPr>
              <w:widowControl/>
              <w:jc w:val="left"/>
              <w:rPr>
                <w:rFonts w:hint="eastAsia" w:ascii="仿宋_GB2312" w:hAnsi="等线" w:eastAsia="仿宋_GB2312" w:cs="宋体"/>
                <w:kern w:val="0"/>
                <w:sz w:val="24"/>
                <w:szCs w:val="24"/>
                <w:lang w:val="en-US" w:eastAsia="zh-CN" w:bidi="ar-SA"/>
              </w:rPr>
            </w:pPr>
          </w:p>
        </w:tc>
        <w:tc>
          <w:tcPr>
            <w:tcW w:w="3832" w:type="dxa"/>
            <w:tcBorders>
              <w:top w:val="single" w:color="auto" w:sz="4" w:space="0"/>
              <w:left w:val="nil"/>
              <w:bottom w:val="single" w:color="auto" w:sz="4" w:space="0"/>
              <w:right w:val="single" w:color="auto" w:sz="4" w:space="0"/>
            </w:tcBorders>
            <w:shd w:val="clear" w:color="auto" w:fill="auto"/>
            <w:vAlign w:val="center"/>
          </w:tcPr>
          <w:p w14:paraId="0FA6FE66">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安徽省郎溪县鸿泰钢铁有限公司</w:t>
            </w:r>
          </w:p>
          <w:p w14:paraId="7FF81B88">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天然气检测点共计11处，数采网关采集监测点数据，通过报警灯及语音模</w:t>
            </w:r>
          </w:p>
          <w:p w14:paraId="12D81862">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块、短信告警通知，对应播报检测点泄漏报警；氧枪故障检测共8处，数采网关采集监测点数据，进行告警显示。</w:t>
            </w:r>
          </w:p>
          <w:p w14:paraId="04C44730">
            <w:pPr>
              <w:widowControl/>
              <w:jc w:val="left"/>
              <w:rPr>
                <w:rFonts w:hint="eastAsia" w:ascii="仿宋_GB2312" w:hAnsi="等线" w:eastAsia="仿宋_GB2312" w:cs="宋体"/>
                <w:kern w:val="0"/>
                <w:sz w:val="24"/>
                <w:szCs w:val="24"/>
                <w:lang w:val="en-US" w:eastAsia="zh-CN" w:bidi="ar-SA"/>
              </w:rPr>
            </w:pPr>
          </w:p>
        </w:tc>
      </w:tr>
      <w:tr w14:paraId="6EA6D51C">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67675AC8">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01" w:type="dxa"/>
            <w:tcBorders>
              <w:top w:val="single" w:color="auto" w:sz="4" w:space="0"/>
              <w:left w:val="nil"/>
              <w:bottom w:val="single" w:color="auto" w:sz="4" w:space="0"/>
              <w:right w:val="single" w:color="auto" w:sz="4" w:space="0"/>
            </w:tcBorders>
            <w:shd w:val="clear" w:color="auto" w:fill="auto"/>
            <w:vAlign w:val="center"/>
          </w:tcPr>
          <w:p w14:paraId="781EECAA">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综能管理系统（能耗云）</w:t>
            </w:r>
          </w:p>
          <w:p w14:paraId="518B088E">
            <w:pPr>
              <w:widowControl/>
              <w:jc w:val="center"/>
              <w:rPr>
                <w:rFonts w:hint="eastAsia" w:ascii="仿宋_GB2312" w:hAnsi="等线" w:eastAsia="仿宋_GB2312" w:cs="宋体"/>
                <w:kern w:val="0"/>
                <w:sz w:val="24"/>
                <w:szCs w:val="24"/>
                <w:lang w:val="en-US" w:eastAsia="zh-CN" w:bidi="ar-SA"/>
              </w:rPr>
            </w:pPr>
          </w:p>
        </w:tc>
        <w:tc>
          <w:tcPr>
            <w:tcW w:w="2310" w:type="dxa"/>
            <w:tcBorders>
              <w:top w:val="single" w:color="auto" w:sz="4" w:space="0"/>
              <w:left w:val="nil"/>
              <w:bottom w:val="single" w:color="auto" w:sz="4" w:space="0"/>
              <w:right w:val="single" w:color="auto" w:sz="4" w:space="0"/>
            </w:tcBorders>
            <w:shd w:val="clear" w:color="auto" w:fill="auto"/>
            <w:vAlign w:val="center"/>
          </w:tcPr>
          <w:p w14:paraId="19B203D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节能减排</w:t>
            </w:r>
          </w:p>
        </w:tc>
        <w:tc>
          <w:tcPr>
            <w:tcW w:w="4440" w:type="dxa"/>
            <w:tcBorders>
              <w:top w:val="single" w:color="auto" w:sz="4" w:space="0"/>
              <w:left w:val="nil"/>
              <w:bottom w:val="single" w:color="auto" w:sz="4" w:space="0"/>
              <w:right w:val="single" w:color="auto" w:sz="4" w:space="0"/>
            </w:tcBorders>
            <w:shd w:val="clear" w:color="auto" w:fill="auto"/>
            <w:vAlign w:val="center"/>
          </w:tcPr>
          <w:p w14:paraId="3B1A44B3">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包括能耗驾驶舱、能源数据可视化展示精细管理、能源流向可视化展示、多场景、全方位监控设备运行环境、电力设备状态监测防控、实现远程智能化巡检、辅助碳交易管理等功能</w:t>
            </w:r>
          </w:p>
          <w:p w14:paraId="521C49E1">
            <w:pPr>
              <w:widowControl/>
              <w:jc w:val="left"/>
              <w:rPr>
                <w:rFonts w:hint="eastAsia" w:ascii="仿宋_GB2312" w:hAnsi="等线" w:eastAsia="仿宋_GB2312" w:cs="宋体"/>
                <w:kern w:val="0"/>
                <w:sz w:val="24"/>
                <w:szCs w:val="24"/>
                <w:lang w:val="en-US" w:eastAsia="zh-CN" w:bidi="ar-SA"/>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4799BD2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20万元-50万元</w:t>
            </w:r>
          </w:p>
        </w:tc>
        <w:tc>
          <w:tcPr>
            <w:tcW w:w="3832" w:type="dxa"/>
            <w:tcBorders>
              <w:top w:val="single" w:color="auto" w:sz="4" w:space="0"/>
              <w:left w:val="nil"/>
              <w:bottom w:val="single" w:color="auto" w:sz="4" w:space="0"/>
              <w:right w:val="single" w:color="auto" w:sz="4" w:space="0"/>
            </w:tcBorders>
            <w:shd w:val="clear" w:color="auto" w:fill="auto"/>
            <w:vAlign w:val="center"/>
          </w:tcPr>
          <w:p w14:paraId="058CC2B1">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上海科技大学 </w:t>
            </w:r>
          </w:p>
          <w:p w14:paraId="3A3D52E6">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能源管理系统主要建设内容包括：能源地图、能源总览、建筑用电监管、建筑用水监管、空调监控、数据分析、辅助决</w:t>
            </w:r>
          </w:p>
          <w:p w14:paraId="6EB921F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策、报警管理、报表输出、设备管理等。</w:t>
            </w:r>
          </w:p>
        </w:tc>
      </w:tr>
      <w:tr w14:paraId="46B19995">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63775FE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501" w:type="dxa"/>
            <w:tcBorders>
              <w:top w:val="single" w:color="auto" w:sz="4" w:space="0"/>
              <w:left w:val="nil"/>
              <w:bottom w:val="single" w:color="auto" w:sz="4" w:space="0"/>
              <w:right w:val="single" w:color="auto" w:sz="4" w:space="0"/>
            </w:tcBorders>
            <w:shd w:val="clear" w:color="auto" w:fill="auto"/>
            <w:vAlign w:val="center"/>
          </w:tcPr>
          <w:p w14:paraId="5A90F93E">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物流运输管理(iTMS)</w:t>
            </w:r>
          </w:p>
          <w:p w14:paraId="1DEDB9B4">
            <w:pPr>
              <w:widowControl/>
              <w:jc w:val="center"/>
              <w:rPr>
                <w:rFonts w:hint="eastAsia" w:ascii="仿宋_GB2312" w:hAnsi="等线" w:eastAsia="仿宋_GB2312" w:cs="宋体"/>
                <w:kern w:val="0"/>
                <w:sz w:val="24"/>
                <w:szCs w:val="24"/>
                <w:lang w:val="en-US" w:eastAsia="zh-CN" w:bidi="ar-SA"/>
              </w:rPr>
            </w:pPr>
          </w:p>
        </w:tc>
        <w:tc>
          <w:tcPr>
            <w:tcW w:w="2310" w:type="dxa"/>
            <w:tcBorders>
              <w:top w:val="single" w:color="auto" w:sz="4" w:space="0"/>
              <w:left w:val="nil"/>
              <w:bottom w:val="single" w:color="auto" w:sz="4" w:space="0"/>
              <w:right w:val="single" w:color="auto" w:sz="4" w:space="0"/>
            </w:tcBorders>
            <w:shd w:val="clear" w:color="auto" w:fill="auto"/>
            <w:vAlign w:val="center"/>
          </w:tcPr>
          <w:p w14:paraId="771A717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运维服务</w:t>
            </w:r>
          </w:p>
        </w:tc>
        <w:tc>
          <w:tcPr>
            <w:tcW w:w="4440" w:type="dxa"/>
            <w:tcBorders>
              <w:top w:val="single" w:color="auto" w:sz="4" w:space="0"/>
              <w:left w:val="nil"/>
              <w:bottom w:val="single" w:color="auto" w:sz="4" w:space="0"/>
              <w:right w:val="single" w:color="auto" w:sz="4" w:space="0"/>
            </w:tcBorders>
            <w:shd w:val="clear" w:color="auto" w:fill="auto"/>
            <w:vAlign w:val="center"/>
          </w:tcPr>
          <w:p w14:paraId="5181591E">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包括订单管理、运力管理、调度管理：库区调度、车辆在途监控、里程碑式预警，及时调整计划、电子回单管理、报表管理、司机APP等功能</w:t>
            </w:r>
          </w:p>
          <w:p w14:paraId="3DAE4D0F">
            <w:pPr>
              <w:widowControl/>
              <w:jc w:val="left"/>
              <w:rPr>
                <w:rFonts w:hint="eastAsia" w:ascii="仿宋_GB2312" w:hAnsi="等线" w:eastAsia="仿宋_GB2312" w:cs="宋体"/>
                <w:kern w:val="0"/>
                <w:sz w:val="24"/>
                <w:szCs w:val="24"/>
                <w:lang w:val="en-US" w:eastAsia="zh-CN" w:bidi="ar-SA"/>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4BDEF879">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20万元-50万元</w:t>
            </w:r>
          </w:p>
        </w:tc>
        <w:tc>
          <w:tcPr>
            <w:tcW w:w="3832" w:type="dxa"/>
            <w:tcBorders>
              <w:top w:val="single" w:color="auto" w:sz="4" w:space="0"/>
              <w:left w:val="nil"/>
              <w:bottom w:val="single" w:color="auto" w:sz="4" w:space="0"/>
              <w:right w:val="single" w:color="auto" w:sz="4" w:space="0"/>
            </w:tcBorders>
            <w:shd w:val="clear" w:color="auto" w:fill="auto"/>
            <w:vAlign w:val="center"/>
          </w:tcPr>
          <w:p w14:paraId="72701FBF">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中兴运输可视化项目</w:t>
            </w:r>
          </w:p>
          <w:p w14:paraId="5991285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该项目将运输业务拆分为物流操作任务，通过对关键时间节点的管控，联动小程序实现订单信息的实时回传，实现中兴国内运输业务集货、集货仓操作、干线运输、中转仓操作、末端派送全程可视化。</w:t>
            </w:r>
          </w:p>
        </w:tc>
      </w:tr>
      <w:tr w14:paraId="30D32845">
        <w:tblPrEx>
          <w:tblCellMar>
            <w:top w:w="0" w:type="dxa"/>
            <w:left w:w="108" w:type="dxa"/>
            <w:bottom w:w="0" w:type="dxa"/>
            <w:right w:w="108" w:type="dxa"/>
          </w:tblCellMar>
        </w:tblPrEx>
        <w:trPr>
          <w:trHeight w:val="61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7EAAD44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501" w:type="dxa"/>
            <w:tcBorders>
              <w:top w:val="single" w:color="auto" w:sz="4" w:space="0"/>
              <w:left w:val="nil"/>
              <w:bottom w:val="single" w:color="auto" w:sz="4" w:space="0"/>
              <w:right w:val="single" w:color="auto" w:sz="4" w:space="0"/>
            </w:tcBorders>
            <w:shd w:val="clear" w:color="auto" w:fill="auto"/>
            <w:vAlign w:val="center"/>
          </w:tcPr>
          <w:p w14:paraId="041DFD84">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安全生产管理产品</w:t>
            </w:r>
          </w:p>
        </w:tc>
        <w:tc>
          <w:tcPr>
            <w:tcW w:w="2310" w:type="dxa"/>
            <w:tcBorders>
              <w:top w:val="single" w:color="auto" w:sz="4" w:space="0"/>
              <w:left w:val="nil"/>
              <w:bottom w:val="single" w:color="auto" w:sz="4" w:space="0"/>
              <w:right w:val="single" w:color="auto" w:sz="4" w:space="0"/>
            </w:tcBorders>
            <w:shd w:val="clear" w:color="auto" w:fill="auto"/>
            <w:vAlign w:val="center"/>
          </w:tcPr>
          <w:p w14:paraId="68FDC79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440" w:type="dxa"/>
            <w:tcBorders>
              <w:top w:val="single" w:color="auto" w:sz="4" w:space="0"/>
              <w:left w:val="nil"/>
              <w:bottom w:val="single" w:color="auto" w:sz="4" w:space="0"/>
              <w:right w:val="single" w:color="auto" w:sz="4" w:space="0"/>
            </w:tcBorders>
            <w:shd w:val="clear" w:color="auto" w:fill="auto"/>
            <w:vAlign w:val="center"/>
          </w:tcPr>
          <w:p w14:paraId="511A71D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包括危险源管理、隐患排查管理、危险作业许可管理、培训与能力管理、安全信息库、安全信任接入等功能</w:t>
            </w:r>
          </w:p>
        </w:tc>
        <w:tc>
          <w:tcPr>
            <w:tcW w:w="1500" w:type="dxa"/>
            <w:tcBorders>
              <w:top w:val="single" w:color="auto" w:sz="4" w:space="0"/>
              <w:left w:val="nil"/>
              <w:bottom w:val="single" w:color="auto" w:sz="4" w:space="0"/>
              <w:right w:val="single" w:color="auto" w:sz="4" w:space="0"/>
            </w:tcBorders>
            <w:shd w:val="clear" w:color="auto" w:fill="auto"/>
            <w:vAlign w:val="center"/>
          </w:tcPr>
          <w:p w14:paraId="441C15EF">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20万元-50万元</w:t>
            </w:r>
          </w:p>
          <w:p w14:paraId="41CE41A5">
            <w:pPr>
              <w:widowControl/>
              <w:jc w:val="left"/>
              <w:rPr>
                <w:rFonts w:hint="eastAsia" w:ascii="仿宋_GB2312" w:hAnsi="等线" w:eastAsia="仿宋_GB2312" w:cs="宋体"/>
                <w:kern w:val="0"/>
                <w:sz w:val="24"/>
                <w:szCs w:val="24"/>
                <w:lang w:val="en-US" w:eastAsia="zh-CN" w:bidi="ar-SA"/>
              </w:rPr>
            </w:pPr>
          </w:p>
        </w:tc>
        <w:tc>
          <w:tcPr>
            <w:tcW w:w="3832" w:type="dxa"/>
            <w:tcBorders>
              <w:top w:val="single" w:color="auto" w:sz="4" w:space="0"/>
              <w:left w:val="nil"/>
              <w:bottom w:val="single" w:color="auto" w:sz="4" w:space="0"/>
              <w:right w:val="single" w:color="auto" w:sz="4" w:space="0"/>
            </w:tcBorders>
            <w:shd w:val="clear" w:color="auto" w:fill="auto"/>
            <w:vAlign w:val="center"/>
          </w:tcPr>
          <w:p w14:paraId="5C934DE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粤西某石化工厂安全监控全要素监控：人、机、物等全要素全天候分析：MEC实时识别分析全流程闭环：监测+告警,闭环管理</w:t>
            </w:r>
          </w:p>
        </w:tc>
      </w:tr>
      <w:tr w14:paraId="3556FBD7">
        <w:tblPrEx>
          <w:tblCellMar>
            <w:top w:w="0" w:type="dxa"/>
            <w:left w:w="108" w:type="dxa"/>
            <w:bottom w:w="0" w:type="dxa"/>
            <w:right w:w="108" w:type="dxa"/>
          </w:tblCellMar>
        </w:tblPrEx>
        <w:trPr>
          <w:trHeight w:val="611" w:hRule="atLeast"/>
        </w:trPr>
        <w:tc>
          <w:tcPr>
            <w:tcW w:w="789" w:type="dxa"/>
            <w:tcBorders>
              <w:top w:val="single" w:color="auto" w:sz="4" w:space="0"/>
              <w:left w:val="single" w:color="auto" w:sz="4" w:space="0"/>
              <w:bottom w:val="single" w:color="auto" w:sz="4" w:space="0"/>
              <w:right w:val="single" w:color="auto" w:sz="4" w:space="0"/>
            </w:tcBorders>
          </w:tcPr>
          <w:p w14:paraId="22B4F25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501" w:type="dxa"/>
            <w:tcBorders>
              <w:top w:val="single" w:color="auto" w:sz="4" w:space="0"/>
              <w:left w:val="single" w:color="auto" w:sz="4" w:space="0"/>
              <w:bottom w:val="single" w:color="auto" w:sz="4" w:space="0"/>
              <w:right w:val="single" w:color="auto" w:sz="4" w:space="0"/>
            </w:tcBorders>
            <w:shd w:val="clear" w:color="auto" w:fill="auto"/>
            <w:vAlign w:val="center"/>
          </w:tcPr>
          <w:p w14:paraId="2C40D05C">
            <w:pPr>
              <w:widowControl/>
              <w:jc w:val="center"/>
              <w:textAlignment w:val="center"/>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rPr>
              <w:t>无人值守过磅系统</w:t>
            </w:r>
          </w:p>
        </w:tc>
        <w:tc>
          <w:tcPr>
            <w:tcW w:w="2310" w:type="dxa"/>
            <w:tcBorders>
              <w:top w:val="single" w:color="auto" w:sz="4" w:space="0"/>
              <w:left w:val="single" w:color="auto" w:sz="4" w:space="0"/>
              <w:bottom w:val="single" w:color="auto" w:sz="4" w:space="0"/>
              <w:right w:val="single" w:color="auto" w:sz="4" w:space="0"/>
            </w:tcBorders>
            <w:shd w:val="clear" w:color="auto" w:fill="auto"/>
            <w:vAlign w:val="center"/>
          </w:tcPr>
          <w:p w14:paraId="4EC892E0">
            <w:pPr>
              <w:widowControl/>
              <w:jc w:val="left"/>
              <w:textAlignment w:val="center"/>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rPr>
              <w:t>生产制造</w:t>
            </w:r>
          </w:p>
        </w:tc>
        <w:tc>
          <w:tcPr>
            <w:tcW w:w="4440" w:type="dxa"/>
            <w:tcBorders>
              <w:top w:val="single" w:color="auto" w:sz="4" w:space="0"/>
              <w:left w:val="single" w:color="auto" w:sz="4" w:space="0"/>
              <w:bottom w:val="single" w:color="auto" w:sz="4" w:space="0"/>
              <w:right w:val="single" w:color="auto" w:sz="4" w:space="0"/>
            </w:tcBorders>
            <w:shd w:val="clear" w:color="auto" w:fill="auto"/>
            <w:vAlign w:val="center"/>
          </w:tcPr>
          <w:p w14:paraId="108A2FA8">
            <w:pPr>
              <w:widowControl/>
              <w:jc w:val="left"/>
              <w:textAlignment w:val="center"/>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rPr>
              <w:t>包括作业全程监控、过磅过程AI分析、异常视频追溯、车牌识别等功能</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5CFA1BC3">
            <w:pPr>
              <w:widowControl/>
              <w:jc w:val="left"/>
              <w:textAlignment w:val="center"/>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rPr>
              <w:t>20万元-50万元</w:t>
            </w:r>
          </w:p>
        </w:tc>
        <w:tc>
          <w:tcPr>
            <w:tcW w:w="3832" w:type="dxa"/>
            <w:tcBorders>
              <w:top w:val="single" w:color="auto" w:sz="4" w:space="0"/>
              <w:left w:val="single" w:color="auto" w:sz="4" w:space="0"/>
              <w:bottom w:val="single" w:color="auto" w:sz="4" w:space="0"/>
              <w:right w:val="single" w:color="auto" w:sz="4" w:space="0"/>
            </w:tcBorders>
            <w:shd w:val="clear" w:color="auto" w:fill="auto"/>
            <w:vAlign w:val="center"/>
          </w:tcPr>
          <w:p w14:paraId="78AE4B4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承德县金盈矿业无人检斤项目 </w:t>
            </w:r>
          </w:p>
          <w:p w14:paraId="13D6107B">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2023年6月承德金盈矿业连落两单，效果良好。该业务具备无人化、防作弊、移动化的特点，将原有人工方式单台车过磅时间从3分钟压降至30s，目前每天服务金盈矿业300余车辆检斤。</w:t>
            </w:r>
          </w:p>
        </w:tc>
      </w:tr>
    </w:tbl>
    <w:p w14:paraId="229343F0">
      <w:pPr>
        <w:rPr>
          <w:rFonts w:ascii="仿宋_GB2312" w:hAnsi="仿宋_GB2312" w:eastAsia="仿宋_GB2312" w:cs="仿宋_GB2312"/>
          <w:bCs/>
          <w:sz w:val="32"/>
          <w:szCs w:val="32"/>
        </w:rPr>
      </w:pPr>
    </w:p>
    <w:p w14:paraId="2182CADD">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六</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联合体成员：金蝶软件（中国）有限公司佛山分公司            </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54"/>
      </w:tblGrid>
      <w:tr w14:paraId="3393F6F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178A85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0E075C2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DB45D9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34EDCD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6486C109">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854" w:type="dxa"/>
            <w:tcBorders>
              <w:top w:val="single" w:color="auto" w:sz="4" w:space="0"/>
              <w:left w:val="nil"/>
              <w:bottom w:val="single" w:color="auto" w:sz="4" w:space="0"/>
              <w:right w:val="single" w:color="auto" w:sz="4" w:space="0"/>
            </w:tcBorders>
            <w:shd w:val="clear" w:color="auto" w:fill="auto"/>
            <w:vAlign w:val="center"/>
          </w:tcPr>
          <w:p w14:paraId="6E5EA80A">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30B7FC1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C2BF6B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404E6FCF">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金蝶云星空</w:t>
            </w:r>
          </w:p>
        </w:tc>
        <w:tc>
          <w:tcPr>
            <w:tcW w:w="2318" w:type="dxa"/>
            <w:tcBorders>
              <w:top w:val="single" w:color="auto" w:sz="4" w:space="0"/>
              <w:left w:val="nil"/>
              <w:bottom w:val="single" w:color="auto" w:sz="4" w:space="0"/>
              <w:right w:val="single" w:color="auto" w:sz="4" w:space="0"/>
            </w:tcBorders>
            <w:shd w:val="clear" w:color="auto" w:fill="auto"/>
            <w:vAlign w:val="center"/>
          </w:tcPr>
          <w:p w14:paraId="2123368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597FA8D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从销售接单，到生产计划、物料采购、仓库进出料管理、质量管理、财务与成本核算，使企业管理更加灵活的面对供需变动。掌握准确及时、完整信息的基础上，做出正确决策，采取准确管理的措施。</w:t>
            </w:r>
          </w:p>
        </w:tc>
        <w:tc>
          <w:tcPr>
            <w:tcW w:w="1551" w:type="dxa"/>
            <w:tcBorders>
              <w:top w:val="single" w:color="auto" w:sz="4" w:space="0"/>
              <w:left w:val="nil"/>
              <w:bottom w:val="single" w:color="auto" w:sz="4" w:space="0"/>
              <w:right w:val="single" w:color="auto" w:sz="4" w:space="0"/>
            </w:tcBorders>
            <w:shd w:val="clear" w:color="auto" w:fill="auto"/>
            <w:vAlign w:val="center"/>
          </w:tcPr>
          <w:p w14:paraId="520E9EA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5万元-50万元</w:t>
            </w:r>
          </w:p>
        </w:tc>
        <w:tc>
          <w:tcPr>
            <w:tcW w:w="3854" w:type="dxa"/>
            <w:tcBorders>
              <w:top w:val="single" w:color="auto" w:sz="4" w:space="0"/>
              <w:left w:val="nil"/>
              <w:bottom w:val="single" w:color="auto" w:sz="4" w:space="0"/>
              <w:right w:val="single" w:color="auto" w:sz="4" w:space="0"/>
            </w:tcBorders>
            <w:shd w:val="clear" w:color="auto" w:fill="auto"/>
            <w:vAlign w:val="center"/>
          </w:tcPr>
          <w:p w14:paraId="7D0FE29A">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广东葆德科技有限公司、佛山市必硕机电科技有限公</w:t>
            </w:r>
          </w:p>
          <w:p w14:paraId="03059E5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司、辛格林电梯有限公司、南方风机股份有限公司</w:t>
            </w:r>
          </w:p>
        </w:tc>
      </w:tr>
      <w:tr w14:paraId="5E485F7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B8223CD">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581D30A">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金蝶云星辰</w:t>
            </w:r>
          </w:p>
        </w:tc>
        <w:tc>
          <w:tcPr>
            <w:tcW w:w="2318" w:type="dxa"/>
            <w:tcBorders>
              <w:top w:val="single" w:color="auto" w:sz="4" w:space="0"/>
              <w:left w:val="nil"/>
              <w:bottom w:val="single" w:color="auto" w:sz="4" w:space="0"/>
              <w:right w:val="single" w:color="auto" w:sz="4" w:space="0"/>
            </w:tcBorders>
            <w:shd w:val="clear" w:color="auto" w:fill="auto"/>
            <w:vAlign w:val="center"/>
          </w:tcPr>
          <w:p w14:paraId="130A093E">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7F567ABC">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面向小微企业财务进销存管理环节，数字化水平低，业务财务管理难，数据混乱问题，实现财务进销存、零售、订货商城一 </w:t>
            </w:r>
          </w:p>
          <w:p w14:paraId="794CF8EB">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体化管理。聚焦小型企业在线经营和数字化管理，以“新财税、新营销、新平台”三大特性赋能企业，提供财务云、税务云、进销存云、订货商城等SaaS服务，支持小型企业拓客开源、智能管理</w:t>
            </w:r>
          </w:p>
          <w:p w14:paraId="2A14C3C9">
            <w:pPr>
              <w:widowControl/>
              <w:jc w:val="left"/>
              <w:rPr>
                <w:rFonts w:hint="eastAsia" w:ascii="仿宋_GB2312" w:hAnsi="等线" w:eastAsia="仿宋_GB2312" w:cs="宋体"/>
                <w:kern w:val="0"/>
                <w:sz w:val="24"/>
                <w:szCs w:val="24"/>
                <w:lang w:val="en-US" w:eastAsia="zh-CN" w:bidi="ar-SA"/>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7A3067BD">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0.5万元-5万元</w:t>
            </w:r>
          </w:p>
          <w:p w14:paraId="0FDDD670">
            <w:pPr>
              <w:widowControl/>
              <w:jc w:val="left"/>
              <w:rPr>
                <w:rFonts w:hint="eastAsia" w:ascii="仿宋_GB2312" w:hAnsi="等线" w:eastAsia="仿宋_GB2312" w:cs="宋体"/>
                <w:kern w:val="0"/>
                <w:sz w:val="24"/>
                <w:szCs w:val="24"/>
                <w:lang w:val="en-US" w:eastAsia="zh-CN" w:bidi="ar-SA"/>
              </w:rPr>
            </w:pPr>
          </w:p>
        </w:tc>
        <w:tc>
          <w:tcPr>
            <w:tcW w:w="3854" w:type="dxa"/>
            <w:tcBorders>
              <w:top w:val="single" w:color="auto" w:sz="4" w:space="0"/>
              <w:left w:val="nil"/>
              <w:bottom w:val="single" w:color="auto" w:sz="4" w:space="0"/>
              <w:right w:val="single" w:color="auto" w:sz="4" w:space="0"/>
            </w:tcBorders>
            <w:shd w:val="clear" w:color="auto" w:fill="auto"/>
            <w:vAlign w:val="center"/>
          </w:tcPr>
          <w:p w14:paraId="348C3536">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广东宏牌电线制品有限公司、文和安（广东）金属制品科技有限公司</w:t>
            </w:r>
          </w:p>
        </w:tc>
      </w:tr>
      <w:tr w14:paraId="700C1F4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59397F8">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81FD6B2">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金蝶KIS云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614EA9E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4FCC31AC">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实现采购管理、销售管理 等 为 一 体 的 管理，以成本管理为目标，计划与流程控制</w:t>
            </w:r>
          </w:p>
          <w:p w14:paraId="1AD233F9">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为主线，通过对成本目标及责任进行考核激励，推动管理者应用ERP等先进的管理模式和工具，为中小企业从云端提供完整的管理体系。</w:t>
            </w:r>
          </w:p>
          <w:p w14:paraId="7BE134D7">
            <w:pPr>
              <w:widowControl/>
              <w:jc w:val="left"/>
              <w:rPr>
                <w:rFonts w:hint="eastAsia" w:ascii="仿宋_GB2312" w:hAnsi="等线" w:eastAsia="仿宋_GB2312" w:cs="宋体"/>
                <w:kern w:val="0"/>
                <w:sz w:val="24"/>
                <w:szCs w:val="24"/>
                <w:lang w:val="en-US" w:eastAsia="zh-CN" w:bidi="ar-SA"/>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0FF741D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0.5万元-3万元</w:t>
            </w:r>
          </w:p>
        </w:tc>
        <w:tc>
          <w:tcPr>
            <w:tcW w:w="3854" w:type="dxa"/>
            <w:tcBorders>
              <w:top w:val="single" w:color="auto" w:sz="4" w:space="0"/>
              <w:left w:val="nil"/>
              <w:bottom w:val="single" w:color="auto" w:sz="4" w:space="0"/>
              <w:right w:val="single" w:color="auto" w:sz="4" w:space="0"/>
            </w:tcBorders>
            <w:shd w:val="clear" w:color="auto" w:fill="auto"/>
            <w:vAlign w:val="center"/>
          </w:tcPr>
          <w:p w14:paraId="1BDA233E">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佛山市保坚照明有限公司、佛山市中创达无机材料有限公司</w:t>
            </w:r>
          </w:p>
        </w:tc>
      </w:tr>
    </w:tbl>
    <w:p w14:paraId="3B5D200B">
      <w:pPr>
        <w:rPr>
          <w:rFonts w:ascii="仿宋_GB2312" w:hAnsi="仿宋_GB2312" w:eastAsia="仿宋_GB2312" w:cs="仿宋_GB2312"/>
          <w:bCs/>
          <w:sz w:val="32"/>
          <w:szCs w:val="32"/>
        </w:rPr>
      </w:pPr>
    </w:p>
    <w:p w14:paraId="57E6DAFD">
      <w:pPr>
        <w:rPr>
          <w:rFonts w:ascii="仿宋_GB2312" w:hAnsi="仿宋_GB2312" w:eastAsia="仿宋_GB2312" w:cs="仿宋_GB2312"/>
          <w:bCs/>
          <w:sz w:val="32"/>
          <w:szCs w:val="32"/>
        </w:rPr>
      </w:pPr>
    </w:p>
    <w:p w14:paraId="62F76A60">
      <w:pPr>
        <w:pStyle w:val="2"/>
        <w:rPr>
          <w:rFonts w:ascii="仿宋_GB2312" w:hAnsi="仿宋_GB2312" w:eastAsia="仿宋_GB2312" w:cs="仿宋_GB2312"/>
          <w:bCs/>
          <w:sz w:val="32"/>
          <w:szCs w:val="32"/>
        </w:rPr>
      </w:pPr>
    </w:p>
    <w:p w14:paraId="25A0DFB3">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七</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联合体成员：广东金赋科技股份有限公司 </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99"/>
      </w:tblGrid>
      <w:tr w14:paraId="1D21A1B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5B3317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2333864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B99067B">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31D70E4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703DBE89">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899" w:type="dxa"/>
            <w:tcBorders>
              <w:top w:val="single" w:color="auto" w:sz="4" w:space="0"/>
              <w:left w:val="nil"/>
              <w:bottom w:val="single" w:color="auto" w:sz="4" w:space="0"/>
              <w:right w:val="single" w:color="auto" w:sz="4" w:space="0"/>
            </w:tcBorders>
            <w:shd w:val="clear" w:color="auto" w:fill="auto"/>
            <w:vAlign w:val="center"/>
          </w:tcPr>
          <w:p w14:paraId="69520A8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12A0FE6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6148A30">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4D2C95E7">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金赋AI智能用数系统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399469E6">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3C4C72A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通过大模型生成技术，进行颠覆式的交互体验，打破当前只能预置分析模块和视图模板的模式，提供可动态交互的、生成式的随心问能力。仅需一句话问询，秒级别快速、高效的生成统计分析图表，辅助企业营销决策，同时解决传统人为计算时间和反馈时间较长的问题。</w:t>
            </w:r>
          </w:p>
        </w:tc>
        <w:tc>
          <w:tcPr>
            <w:tcW w:w="1551" w:type="dxa"/>
            <w:tcBorders>
              <w:top w:val="single" w:color="auto" w:sz="4" w:space="0"/>
              <w:left w:val="nil"/>
              <w:bottom w:val="single" w:color="auto" w:sz="4" w:space="0"/>
              <w:right w:val="single" w:color="auto" w:sz="4" w:space="0"/>
            </w:tcBorders>
            <w:shd w:val="clear" w:color="auto" w:fill="auto"/>
            <w:vAlign w:val="center"/>
          </w:tcPr>
          <w:p w14:paraId="46C8E912">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1、订阅产品使用许可4.8万元/年</w:t>
            </w:r>
          </w:p>
          <w:p w14:paraId="6E981A8C">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2、买断产品使用许可 15万元</w:t>
            </w:r>
          </w:p>
          <w:p w14:paraId="3DBF67C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3、数据实施工作量需根据数据实际情况进行评估</w:t>
            </w:r>
          </w:p>
        </w:tc>
        <w:tc>
          <w:tcPr>
            <w:tcW w:w="3899" w:type="dxa"/>
            <w:tcBorders>
              <w:top w:val="single" w:color="auto" w:sz="4" w:space="0"/>
              <w:left w:val="nil"/>
              <w:bottom w:val="single" w:color="auto" w:sz="4" w:space="0"/>
              <w:right w:val="single" w:color="auto" w:sz="4" w:space="0"/>
            </w:tcBorders>
            <w:shd w:val="clear" w:color="auto" w:fill="auto"/>
            <w:vAlign w:val="center"/>
          </w:tcPr>
          <w:p w14:paraId="2D19A518">
            <w:pPr>
              <w:widowControl/>
              <w:jc w:val="center"/>
              <w:rPr>
                <w:rFonts w:hint="eastAsia" w:ascii="仿宋_GB2312" w:hAnsi="等线" w:eastAsia="仿宋_GB2312" w:cs="宋体"/>
                <w:kern w:val="0"/>
                <w:sz w:val="24"/>
                <w:szCs w:val="24"/>
                <w:lang w:val="en-US" w:eastAsia="zh-CN" w:bidi="ar-SA"/>
              </w:rPr>
            </w:pPr>
          </w:p>
        </w:tc>
      </w:tr>
      <w:tr w14:paraId="65CFCEC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DA04F0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20F9947A">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金赋大数据治理平台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05E63B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79819E4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赋科技自主研发的大数据平台集数据汇聚治理、数据场景化管理、数据赋能应用于一体，以数据治理为基础，创新分层分级特色场景目录管理，形成数据场景目录，支撑数据快速赋能，实现数据的规范化治理、场景化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5BF72E3B">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不同版本价格在30万元-100万元之间</w:t>
            </w:r>
          </w:p>
        </w:tc>
        <w:tc>
          <w:tcPr>
            <w:tcW w:w="3899" w:type="dxa"/>
            <w:tcBorders>
              <w:top w:val="single" w:color="auto" w:sz="4" w:space="0"/>
              <w:left w:val="nil"/>
              <w:bottom w:val="single" w:color="auto" w:sz="4" w:space="0"/>
              <w:right w:val="single" w:color="auto" w:sz="4" w:space="0"/>
            </w:tcBorders>
            <w:shd w:val="clear" w:color="auto" w:fill="auto"/>
            <w:vAlign w:val="center"/>
          </w:tcPr>
          <w:p w14:paraId="334D5EE4">
            <w:pPr>
              <w:widowControl/>
              <w:tabs>
                <w:tab w:val="left" w:pos="585"/>
              </w:tabs>
              <w:jc w:val="left"/>
              <w:rPr>
                <w:rFonts w:hint="eastAsia" w:ascii="仿宋_GB2312" w:hAnsi="等线" w:eastAsia="仿宋_GB2312" w:cs="宋体"/>
                <w:kern w:val="0"/>
                <w:sz w:val="24"/>
                <w:szCs w:val="24"/>
                <w:lang w:val="en-US" w:eastAsia="zh-CN" w:bidi="ar-SA"/>
              </w:rPr>
            </w:pPr>
          </w:p>
        </w:tc>
      </w:tr>
      <w:tr w14:paraId="2FDE435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8A0BD4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CAB92FB">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金赋AI数字人</w:t>
            </w:r>
          </w:p>
        </w:tc>
        <w:tc>
          <w:tcPr>
            <w:tcW w:w="2318" w:type="dxa"/>
            <w:tcBorders>
              <w:top w:val="single" w:color="auto" w:sz="4" w:space="0"/>
              <w:left w:val="nil"/>
              <w:bottom w:val="single" w:color="auto" w:sz="4" w:space="0"/>
              <w:right w:val="single" w:color="auto" w:sz="4" w:space="0"/>
            </w:tcBorders>
            <w:shd w:val="clear" w:color="auto" w:fill="auto"/>
            <w:vAlign w:val="center"/>
          </w:tcPr>
          <w:p w14:paraId="5C5AD92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41D3B17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AI数字人基于Unity3D、Musetalk、Wav2lit、Ernerf、NLP自然语言处理技术、AI语言大模型和自定义关联算法等多个技术下开发出来的产品。可通过拍摄真人简短视频，快速克隆出数字人分身，并可实现实时对话。与传统的工程化知识匹配技术的数字人不一样，并非传统的字符匹配、查找答案。而是会对用户提问进行理解，并根据已灌输的知识进行归纳总结的人性化回答。</w:t>
            </w:r>
          </w:p>
        </w:tc>
        <w:tc>
          <w:tcPr>
            <w:tcW w:w="1551" w:type="dxa"/>
            <w:tcBorders>
              <w:top w:val="single" w:color="auto" w:sz="4" w:space="0"/>
              <w:left w:val="nil"/>
              <w:bottom w:val="single" w:color="auto" w:sz="4" w:space="0"/>
              <w:right w:val="single" w:color="auto" w:sz="4" w:space="0"/>
            </w:tcBorders>
            <w:shd w:val="clear" w:color="auto" w:fill="auto"/>
            <w:vAlign w:val="center"/>
          </w:tcPr>
          <w:p w14:paraId="33B67DB1">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【模版形象】</w:t>
            </w:r>
          </w:p>
          <w:p w14:paraId="64F31179">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首年费用：58000元</w:t>
            </w:r>
          </w:p>
          <w:p w14:paraId="29C1A06E">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次年费用：11800元</w:t>
            </w:r>
          </w:p>
          <w:p w14:paraId="60CA2A32">
            <w:pPr>
              <w:widowControl/>
              <w:jc w:val="left"/>
              <w:rPr>
                <w:rFonts w:hint="eastAsia" w:ascii="仿宋_GB2312" w:hAnsi="等线" w:eastAsia="仿宋_GB2312" w:cs="宋体"/>
                <w:kern w:val="0"/>
                <w:sz w:val="24"/>
                <w:szCs w:val="24"/>
                <w:lang w:val="en-US" w:eastAsia="zh-CN"/>
              </w:rPr>
            </w:pPr>
          </w:p>
          <w:p w14:paraId="074654C7">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【定制形象】</w:t>
            </w:r>
          </w:p>
          <w:p w14:paraId="6D93BCDD">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首年费用：158000元</w:t>
            </w:r>
          </w:p>
          <w:p w14:paraId="707DCFF9">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次年费用：11800元</w:t>
            </w:r>
          </w:p>
          <w:p w14:paraId="16784FA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（私有化部署价格另议）</w:t>
            </w:r>
          </w:p>
        </w:tc>
        <w:tc>
          <w:tcPr>
            <w:tcW w:w="3899" w:type="dxa"/>
            <w:tcBorders>
              <w:top w:val="single" w:color="auto" w:sz="4" w:space="0"/>
              <w:left w:val="nil"/>
              <w:bottom w:val="single" w:color="auto" w:sz="4" w:space="0"/>
              <w:right w:val="single" w:color="auto" w:sz="4" w:space="0"/>
            </w:tcBorders>
            <w:shd w:val="clear" w:color="auto" w:fill="auto"/>
            <w:vAlign w:val="center"/>
          </w:tcPr>
          <w:p w14:paraId="3B920C22">
            <w:pPr>
              <w:bidi w:val="0"/>
              <w:jc w:val="center"/>
              <w:rPr>
                <w:rFonts w:hint="eastAsia" w:ascii="Calibri" w:hAnsi="Calibri" w:eastAsia="仿宋" w:cs="Calibri"/>
                <w:kern w:val="2"/>
                <w:sz w:val="28"/>
                <w:szCs w:val="21"/>
                <w:lang w:val="en-US" w:eastAsia="zh-CN" w:bidi="ar-SA"/>
              </w:rPr>
            </w:pPr>
          </w:p>
        </w:tc>
      </w:tr>
    </w:tbl>
    <w:p w14:paraId="5BE869C6">
      <w:pPr>
        <w:rPr>
          <w:rFonts w:hint="eastAsia" w:ascii="仿宋_GB2312" w:hAnsi="仿宋_GB2312" w:eastAsia="仿宋_GB2312" w:cs="仿宋_GB2312"/>
          <w:bCs/>
          <w:sz w:val="32"/>
          <w:szCs w:val="32"/>
          <w:lang w:eastAsia="zh-CN"/>
        </w:rPr>
      </w:pPr>
    </w:p>
    <w:p w14:paraId="03BD9849">
      <w:pPr>
        <w:pStyle w:val="2"/>
        <w:rPr>
          <w:rFonts w:ascii="仿宋_GB2312" w:hAnsi="仿宋_GB2312" w:eastAsia="仿宋_GB2312" w:cs="仿宋_GB2312"/>
          <w:bCs/>
          <w:sz w:val="32"/>
          <w:szCs w:val="32"/>
        </w:rPr>
      </w:pPr>
    </w:p>
    <w:p w14:paraId="7816FF33">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八</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联合体成员：佛山市浩创科技有限公司            </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908"/>
      </w:tblGrid>
      <w:tr w14:paraId="2D5A1F8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4C9867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5A24F6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9EEBD0A">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807CD9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22DE1D91">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908" w:type="dxa"/>
            <w:tcBorders>
              <w:top w:val="single" w:color="auto" w:sz="4" w:space="0"/>
              <w:left w:val="nil"/>
              <w:bottom w:val="single" w:color="auto" w:sz="4" w:space="0"/>
              <w:right w:val="single" w:color="auto" w:sz="4" w:space="0"/>
            </w:tcBorders>
            <w:shd w:val="clear" w:color="auto" w:fill="auto"/>
            <w:vAlign w:val="center"/>
          </w:tcPr>
          <w:p w14:paraId="7F33631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3486B98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889688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247FB6F">
            <w:pPr>
              <w:widowControl/>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金蝶云星空</w:t>
            </w:r>
          </w:p>
        </w:tc>
        <w:tc>
          <w:tcPr>
            <w:tcW w:w="2318" w:type="dxa"/>
            <w:tcBorders>
              <w:top w:val="single" w:color="auto" w:sz="4" w:space="0"/>
              <w:left w:val="nil"/>
              <w:bottom w:val="single" w:color="auto" w:sz="4" w:space="0"/>
              <w:right w:val="single" w:color="auto" w:sz="4" w:space="0"/>
            </w:tcBorders>
            <w:shd w:val="clear" w:color="auto" w:fill="auto"/>
            <w:vAlign w:val="center"/>
          </w:tcPr>
          <w:p w14:paraId="4917F0B8">
            <w:pPr>
              <w:widowControl/>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符合佛山市制造业中小企业数字化智能化转型的方向，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4387" w:type="dxa"/>
            <w:tcBorders>
              <w:top w:val="single" w:color="auto" w:sz="4" w:space="0"/>
              <w:left w:val="nil"/>
              <w:bottom w:val="single" w:color="auto" w:sz="4" w:space="0"/>
              <w:right w:val="single" w:color="auto" w:sz="4" w:space="0"/>
            </w:tcBorders>
            <w:shd w:val="clear" w:color="auto" w:fill="auto"/>
            <w:vAlign w:val="center"/>
          </w:tcPr>
          <w:p w14:paraId="373A7628">
            <w:pPr>
              <w:widowControl/>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从销售接单，到生产计划、物料采购、仓库进出料管理、质量管理、财务与成本核算，使企业管理更加灵活的面对供需变动。掌握准确及时、完整信息的基础上，做出正确决策，采取准确管理的措施。</w:t>
            </w:r>
          </w:p>
        </w:tc>
        <w:tc>
          <w:tcPr>
            <w:tcW w:w="1551" w:type="dxa"/>
            <w:tcBorders>
              <w:top w:val="single" w:color="auto" w:sz="4" w:space="0"/>
              <w:left w:val="nil"/>
              <w:bottom w:val="single" w:color="auto" w:sz="4" w:space="0"/>
              <w:right w:val="single" w:color="auto" w:sz="4" w:space="0"/>
            </w:tcBorders>
            <w:shd w:val="clear" w:color="auto" w:fill="auto"/>
            <w:vAlign w:val="center"/>
          </w:tcPr>
          <w:p w14:paraId="3DB5A514">
            <w:pPr>
              <w:widowControl/>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5</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kern w:val="0"/>
                <w:sz w:val="24"/>
                <w:szCs w:val="24"/>
              </w:rPr>
              <w:t>-100</w:t>
            </w:r>
            <w:r>
              <w:rPr>
                <w:rFonts w:hint="eastAsia" w:ascii="仿宋_GB2312" w:hAnsi="仿宋_GB2312" w:eastAsia="仿宋_GB2312" w:cs="仿宋_GB2312"/>
                <w:kern w:val="0"/>
                <w:sz w:val="24"/>
                <w:szCs w:val="24"/>
                <w:lang w:eastAsia="zh-CN"/>
              </w:rPr>
              <w:t>万元</w:t>
            </w:r>
          </w:p>
        </w:tc>
        <w:tc>
          <w:tcPr>
            <w:tcW w:w="3908" w:type="dxa"/>
            <w:tcBorders>
              <w:top w:val="single" w:color="auto" w:sz="4" w:space="0"/>
              <w:left w:val="nil"/>
              <w:bottom w:val="single" w:color="auto" w:sz="4" w:space="0"/>
              <w:right w:val="single" w:color="auto" w:sz="4" w:space="0"/>
            </w:tcBorders>
            <w:shd w:val="clear" w:color="auto" w:fill="auto"/>
            <w:vAlign w:val="center"/>
          </w:tcPr>
          <w:p w14:paraId="158A4C8F">
            <w:pPr>
              <w:jc w:val="left"/>
              <w:rPr>
                <w:rFonts w:hint="eastAsia" w:ascii="仿宋_GB2312" w:hAnsi="仿宋_GB2312" w:eastAsia="仿宋_GB2312" w:cs="仿宋_GB2312"/>
                <w:kern w:val="0"/>
                <w:sz w:val="24"/>
                <w:szCs w:val="24"/>
                <w:lang w:val="en-US" w:eastAsia="zh-CN" w:bidi="ar-SA"/>
              </w:rPr>
            </w:pPr>
            <w:r>
              <w:rPr>
                <w:rFonts w:ascii="仿宋_GB2312" w:hAnsi="仿宋_GB2312" w:eastAsia="仿宋_GB2312" w:cs="仿宋_GB2312"/>
                <w:kern w:val="0"/>
                <w:sz w:val="24"/>
                <w:szCs w:val="24"/>
              </w:rPr>
              <w:t>金蝶代理服务商</w:t>
            </w:r>
          </w:p>
        </w:tc>
      </w:tr>
      <w:tr w14:paraId="2B0C3CE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E1068A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600C53B">
            <w:pPr>
              <w:widowControl/>
              <w:textAlignment w:val="center"/>
              <w:rPr>
                <w:rFonts w:hint="eastAsia" w:ascii="仿宋_GB2312" w:hAnsi="仿宋_GB2312" w:eastAsia="仿宋_GB2312" w:cs="仿宋_GB2312"/>
                <w:kern w:val="0"/>
                <w:sz w:val="24"/>
                <w:szCs w:val="24"/>
                <w:lang w:val="en-US" w:eastAsia="zh-CN" w:bidi="ar-SA"/>
              </w:rPr>
            </w:pPr>
            <w:r>
              <w:rPr>
                <w:rFonts w:ascii="仿宋_GB2312" w:hAnsi="仿宋_GB2312" w:eastAsia="仿宋_GB2312" w:cs="仿宋_GB2312"/>
                <w:kern w:val="0"/>
                <w:sz w:val="24"/>
                <w:szCs w:val="24"/>
              </w:rPr>
              <w:t>金蝶云星辰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482D1F1">
            <w:pPr>
              <w:widowControl/>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符合佛山市制造业中小企业数字化智能化转型的方向，通过系统的整体流程，固化并优化企业管理，提升企业管理规范性；移动端随时随地使用，财务业务数据及时掌控，移动审批，方便快捷，提升效率；业务单据自动生成会计凭证，三大报表自动生成，数据更严谨。</w:t>
            </w:r>
          </w:p>
        </w:tc>
        <w:tc>
          <w:tcPr>
            <w:tcW w:w="4387" w:type="dxa"/>
            <w:tcBorders>
              <w:top w:val="single" w:color="auto" w:sz="4" w:space="0"/>
              <w:left w:val="nil"/>
              <w:bottom w:val="single" w:color="auto" w:sz="4" w:space="0"/>
              <w:right w:val="single" w:color="auto" w:sz="4" w:space="0"/>
            </w:tcBorders>
            <w:shd w:val="clear" w:color="auto" w:fill="auto"/>
            <w:vAlign w:val="center"/>
          </w:tcPr>
          <w:p w14:paraId="16B6B549">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面向小微企业财务进销存管理环节，数字化水平低，业务财务管理难，数据混乱问题，实现财务进销存、零售、订货商城一体化管理。</w:t>
            </w:r>
          </w:p>
          <w:p w14:paraId="13F290E2">
            <w:pPr>
              <w:widowControl/>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聚焦小型企业在线经营和数字化管理，以“新财税、新营销、新平台”三大特性赋能企业，提供财务云、税务云、进销存云、订货商城等SaaS服务，支持小型企业拓客开源、智能管理、实时决策。</w:t>
            </w:r>
          </w:p>
        </w:tc>
        <w:tc>
          <w:tcPr>
            <w:tcW w:w="1551" w:type="dxa"/>
            <w:tcBorders>
              <w:top w:val="single" w:color="auto" w:sz="4" w:space="0"/>
              <w:left w:val="nil"/>
              <w:bottom w:val="single" w:color="auto" w:sz="4" w:space="0"/>
              <w:right w:val="single" w:color="auto" w:sz="4" w:space="0"/>
            </w:tcBorders>
            <w:shd w:val="clear" w:color="auto" w:fill="auto"/>
            <w:vAlign w:val="center"/>
          </w:tcPr>
          <w:p w14:paraId="0A8DEF63">
            <w:pPr>
              <w:widowControl/>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0.5</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kern w:val="0"/>
                <w:sz w:val="24"/>
                <w:szCs w:val="24"/>
              </w:rPr>
              <w:t>-15</w:t>
            </w:r>
            <w:r>
              <w:rPr>
                <w:rFonts w:hint="eastAsia" w:ascii="仿宋_GB2312" w:hAnsi="仿宋_GB2312" w:eastAsia="仿宋_GB2312" w:cs="仿宋_GB2312"/>
                <w:kern w:val="0"/>
                <w:sz w:val="24"/>
                <w:szCs w:val="24"/>
                <w:lang w:eastAsia="zh-CN"/>
              </w:rPr>
              <w:t>万元</w:t>
            </w:r>
          </w:p>
        </w:tc>
        <w:tc>
          <w:tcPr>
            <w:tcW w:w="3908" w:type="dxa"/>
            <w:tcBorders>
              <w:top w:val="single" w:color="auto" w:sz="4" w:space="0"/>
              <w:left w:val="nil"/>
              <w:bottom w:val="single" w:color="auto" w:sz="4" w:space="0"/>
              <w:right w:val="single" w:color="auto" w:sz="4" w:space="0"/>
            </w:tcBorders>
            <w:shd w:val="clear" w:color="auto" w:fill="auto"/>
            <w:vAlign w:val="center"/>
          </w:tcPr>
          <w:p w14:paraId="2156E513">
            <w:pPr>
              <w:jc w:val="left"/>
              <w:rPr>
                <w:rFonts w:hint="eastAsia" w:ascii="仿宋_GB2312" w:hAnsi="仿宋_GB2312" w:eastAsia="仿宋_GB2312" w:cs="仿宋_GB2312"/>
                <w:kern w:val="0"/>
                <w:sz w:val="24"/>
                <w:szCs w:val="24"/>
                <w:lang w:val="en-US" w:eastAsia="zh-CN" w:bidi="ar-SA"/>
              </w:rPr>
            </w:pPr>
            <w:r>
              <w:rPr>
                <w:rFonts w:ascii="仿宋_GB2312" w:hAnsi="仿宋_GB2312" w:eastAsia="仿宋_GB2312" w:cs="仿宋_GB2312"/>
                <w:kern w:val="0"/>
                <w:sz w:val="24"/>
                <w:szCs w:val="24"/>
              </w:rPr>
              <w:t>金蝶代理服务商</w:t>
            </w:r>
          </w:p>
        </w:tc>
      </w:tr>
      <w:tr w14:paraId="4CA27E7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2D3379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452A50A">
            <w:pPr>
              <w:widowControl/>
              <w:textAlignment w:val="center"/>
              <w:rPr>
                <w:rFonts w:hint="eastAsia" w:ascii="仿宋_GB2312" w:hAnsi="仿宋_GB2312" w:eastAsia="仿宋_GB2312" w:cs="仿宋_GB2312"/>
                <w:kern w:val="0"/>
                <w:sz w:val="24"/>
                <w:szCs w:val="24"/>
                <w:lang w:val="en-US" w:eastAsia="zh-CN" w:bidi="ar-SA"/>
              </w:rPr>
            </w:pPr>
            <w:r>
              <w:rPr>
                <w:rFonts w:ascii="仿宋_GB2312" w:hAnsi="仿宋_GB2312" w:eastAsia="仿宋_GB2312" w:cs="仿宋_GB2312"/>
                <w:kern w:val="0"/>
                <w:sz w:val="24"/>
                <w:szCs w:val="24"/>
              </w:rPr>
              <w:t>金蝶</w:t>
            </w:r>
            <w:r>
              <w:rPr>
                <w:rFonts w:hint="eastAsia" w:ascii="仿宋_GB2312" w:hAnsi="仿宋_GB2312" w:eastAsia="仿宋_GB2312" w:cs="仿宋_GB2312"/>
                <w:kern w:val="0"/>
                <w:sz w:val="24"/>
                <w:szCs w:val="24"/>
              </w:rPr>
              <w:t>KIS云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79F17C78">
            <w:pPr>
              <w:widowControl/>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符合佛山市制造业中小企业数字化智能化转型的方向，为中小型制造、商贸流通企业提供全方位的云应用解决方案支持企业生产上云、供应链和财务上云，企业员工通过KIS云随时随地可以通过Pc端、手机端完成业务处理，实现企业上云办公，让企业管理更高效。</w:t>
            </w:r>
          </w:p>
        </w:tc>
        <w:tc>
          <w:tcPr>
            <w:tcW w:w="4387" w:type="dxa"/>
            <w:tcBorders>
              <w:top w:val="single" w:color="auto" w:sz="4" w:space="0"/>
              <w:left w:val="nil"/>
              <w:bottom w:val="single" w:color="auto" w:sz="4" w:space="0"/>
              <w:right w:val="single" w:color="auto" w:sz="4" w:space="0"/>
            </w:tcBorders>
            <w:shd w:val="clear" w:color="auto" w:fill="auto"/>
            <w:vAlign w:val="center"/>
          </w:tcPr>
          <w:p w14:paraId="7DAC9FD1">
            <w:pPr>
              <w:widowControl/>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实现采购管理、销售管理等为一体的管理，以成本管理为目标，计划与流程控制为主线，通过对成本目标及责任进行考核激励，推动管理者应用ERP等先进的管理模式和工具，为中小企业从云端提供完整的管理体系。</w:t>
            </w:r>
          </w:p>
        </w:tc>
        <w:tc>
          <w:tcPr>
            <w:tcW w:w="1551" w:type="dxa"/>
            <w:tcBorders>
              <w:top w:val="single" w:color="auto" w:sz="4" w:space="0"/>
              <w:left w:val="nil"/>
              <w:bottom w:val="single" w:color="auto" w:sz="4" w:space="0"/>
              <w:right w:val="single" w:color="auto" w:sz="4" w:space="0"/>
            </w:tcBorders>
            <w:shd w:val="clear" w:color="auto" w:fill="auto"/>
            <w:vAlign w:val="center"/>
          </w:tcPr>
          <w:p w14:paraId="001EDC2B">
            <w:pPr>
              <w:widowControl/>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0.5</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kern w:val="0"/>
                <w:sz w:val="24"/>
                <w:szCs w:val="24"/>
              </w:rPr>
              <w:t>-10</w:t>
            </w:r>
            <w:r>
              <w:rPr>
                <w:rFonts w:hint="eastAsia" w:ascii="仿宋_GB2312" w:hAnsi="仿宋_GB2312" w:eastAsia="仿宋_GB2312" w:cs="仿宋_GB2312"/>
                <w:kern w:val="0"/>
                <w:sz w:val="24"/>
                <w:szCs w:val="24"/>
                <w:lang w:eastAsia="zh-CN"/>
              </w:rPr>
              <w:t>万元</w:t>
            </w:r>
          </w:p>
        </w:tc>
        <w:tc>
          <w:tcPr>
            <w:tcW w:w="3908" w:type="dxa"/>
            <w:tcBorders>
              <w:top w:val="single" w:color="auto" w:sz="4" w:space="0"/>
              <w:left w:val="nil"/>
              <w:bottom w:val="single" w:color="auto" w:sz="4" w:space="0"/>
              <w:right w:val="single" w:color="auto" w:sz="4" w:space="0"/>
            </w:tcBorders>
            <w:shd w:val="clear" w:color="auto" w:fill="auto"/>
            <w:vAlign w:val="center"/>
          </w:tcPr>
          <w:p w14:paraId="1DEBCB7F">
            <w:pPr>
              <w:jc w:val="left"/>
              <w:rPr>
                <w:rFonts w:hint="eastAsia" w:ascii="仿宋_GB2312" w:hAnsi="仿宋_GB2312" w:eastAsia="仿宋_GB2312" w:cs="仿宋_GB2312"/>
                <w:kern w:val="0"/>
                <w:sz w:val="24"/>
                <w:szCs w:val="24"/>
                <w:lang w:val="en-US" w:eastAsia="zh-CN" w:bidi="ar-SA"/>
              </w:rPr>
            </w:pPr>
            <w:r>
              <w:rPr>
                <w:rFonts w:ascii="仿宋_GB2312" w:hAnsi="仿宋_GB2312" w:eastAsia="仿宋_GB2312" w:cs="仿宋_GB2312"/>
                <w:kern w:val="0"/>
                <w:sz w:val="24"/>
                <w:szCs w:val="24"/>
              </w:rPr>
              <w:t>金蝶代理服务商</w:t>
            </w:r>
          </w:p>
        </w:tc>
      </w:tr>
    </w:tbl>
    <w:p w14:paraId="5A33D5C5">
      <w:pPr>
        <w:spacing w:line="240" w:lineRule="auto"/>
        <w:rPr>
          <w:rFonts w:hint="eastAsia" w:ascii="仿宋_GB2312" w:hAnsi="仿宋_GB2312" w:eastAsia="仿宋_GB2312" w:cs="仿宋_GB2312"/>
          <w:bCs/>
          <w:sz w:val="32"/>
          <w:szCs w:val="32"/>
          <w:lang w:eastAsia="zh-CN"/>
        </w:rPr>
      </w:pPr>
    </w:p>
    <w:p w14:paraId="238746D9">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九</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联合体成员：广州雁鹏信息科技有限公司            </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36"/>
      </w:tblGrid>
      <w:tr w14:paraId="57CC90D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B4F733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252262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4D5EB14">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51262B3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6CD83C58">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836" w:type="dxa"/>
            <w:tcBorders>
              <w:top w:val="single" w:color="auto" w:sz="4" w:space="0"/>
              <w:left w:val="nil"/>
              <w:bottom w:val="single" w:color="auto" w:sz="4" w:space="0"/>
              <w:right w:val="single" w:color="auto" w:sz="4" w:space="0"/>
            </w:tcBorders>
            <w:shd w:val="clear" w:color="auto" w:fill="auto"/>
            <w:vAlign w:val="center"/>
          </w:tcPr>
          <w:p w14:paraId="643FF09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38201EC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2B9BF8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76C95BA">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PLM协同管理软件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25F76C46">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生产制造、经营管理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597D62B8">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雁鹏PLM是面向制造业产品全生命周期管理业务过程，旨在为企业提供从需求收集、产品设计、工艺设计到车间生产的智能制造管理平台。是集项目管理、产品设计管理、工艺设计管理于一体，以产品为中心，以项目计划为主线，把企业研发设计和工艺制造过程中所有与产品相关的信息和过程集成起来统一管理，PLM实现数据的有序规范、设计过程的优化和资源的共享和上下游数据的一致，从而规范企业的研发流程，提高设计和工艺工作效率，缩短产品研发周期、降低成本，使企业赢得主动权和竞争优势。</w:t>
            </w:r>
          </w:p>
        </w:tc>
        <w:tc>
          <w:tcPr>
            <w:tcW w:w="1551" w:type="dxa"/>
            <w:tcBorders>
              <w:top w:val="single" w:color="auto" w:sz="4" w:space="0"/>
              <w:left w:val="nil"/>
              <w:bottom w:val="single" w:color="auto" w:sz="4" w:space="0"/>
              <w:right w:val="single" w:color="auto" w:sz="4" w:space="0"/>
            </w:tcBorders>
            <w:shd w:val="clear" w:color="auto" w:fill="auto"/>
            <w:vAlign w:val="center"/>
          </w:tcPr>
          <w:p w14:paraId="5F8F0A1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20</w:t>
            </w:r>
            <w:r>
              <w:rPr>
                <w:rFonts w:hint="eastAsia" w:ascii="仿宋_GB2312" w:hAnsi="仿宋_GB2312" w:eastAsia="仿宋_GB2312" w:cs="仿宋_GB2312"/>
                <w:kern w:val="0"/>
                <w:sz w:val="24"/>
                <w:szCs w:val="24"/>
                <w:lang w:eastAsia="zh-CN"/>
              </w:rPr>
              <w:t>万元</w:t>
            </w:r>
            <w:r>
              <w:rPr>
                <w:rFonts w:hint="eastAsia" w:ascii="仿宋_GB2312" w:hAnsi="等线" w:eastAsia="仿宋_GB2312" w:cs="宋体"/>
                <w:kern w:val="0"/>
                <w:sz w:val="24"/>
                <w:szCs w:val="24"/>
                <w:lang w:val="en-US" w:eastAsia="zh-CN"/>
              </w:rPr>
              <w:t>-100万元</w:t>
            </w:r>
          </w:p>
        </w:tc>
        <w:tc>
          <w:tcPr>
            <w:tcW w:w="3836" w:type="dxa"/>
            <w:tcBorders>
              <w:top w:val="single" w:color="auto" w:sz="4" w:space="0"/>
              <w:left w:val="nil"/>
              <w:bottom w:val="single" w:color="auto" w:sz="4" w:space="0"/>
              <w:right w:val="single" w:color="auto" w:sz="4" w:space="0"/>
            </w:tcBorders>
            <w:shd w:val="clear" w:color="auto" w:fill="auto"/>
            <w:vAlign w:val="center"/>
          </w:tcPr>
          <w:p w14:paraId="59333C62">
            <w:pPr>
              <w:widowControl/>
              <w:jc w:val="center"/>
              <w:rPr>
                <w:rFonts w:hint="eastAsia" w:ascii="仿宋_GB2312" w:hAnsi="等线" w:eastAsia="仿宋_GB2312" w:cs="宋体"/>
                <w:kern w:val="0"/>
                <w:sz w:val="24"/>
                <w:szCs w:val="24"/>
                <w:lang w:val="en-US" w:eastAsia="zh-CN" w:bidi="ar-SA"/>
              </w:rPr>
            </w:pPr>
          </w:p>
        </w:tc>
      </w:tr>
    </w:tbl>
    <w:p w14:paraId="20AAB53E">
      <w:pPr>
        <w:spacing w:line="240" w:lineRule="auto"/>
        <w:rPr>
          <w:rFonts w:hint="eastAsia" w:ascii="仿宋_GB2312" w:hAnsi="仿宋_GB2312" w:eastAsia="仿宋_GB2312" w:cs="仿宋_GB2312"/>
          <w:bCs/>
          <w:sz w:val="32"/>
          <w:szCs w:val="32"/>
          <w:lang w:eastAsia="zh-CN"/>
        </w:rPr>
      </w:pPr>
    </w:p>
    <w:p w14:paraId="0BBE820D">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联合体成员： 佛山智一达企业管理咨询有限公司           </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772"/>
      </w:tblGrid>
      <w:tr w14:paraId="2939B91A">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A65587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A724BA6">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1CD2CD2A">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F0222F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40A2981E">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772" w:type="dxa"/>
            <w:tcBorders>
              <w:top w:val="single" w:color="auto" w:sz="4" w:space="0"/>
              <w:left w:val="nil"/>
              <w:bottom w:val="single" w:color="auto" w:sz="4" w:space="0"/>
              <w:right w:val="single" w:color="auto" w:sz="4" w:space="0"/>
            </w:tcBorders>
            <w:shd w:val="clear" w:color="auto" w:fill="auto"/>
            <w:vAlign w:val="center"/>
          </w:tcPr>
          <w:p w14:paraId="131280A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017F7A5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B5EB38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DEE2BD8">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金蝶云星空</w:t>
            </w:r>
          </w:p>
        </w:tc>
        <w:tc>
          <w:tcPr>
            <w:tcW w:w="2318" w:type="dxa"/>
            <w:tcBorders>
              <w:top w:val="single" w:color="auto" w:sz="4" w:space="0"/>
              <w:left w:val="nil"/>
              <w:bottom w:val="single" w:color="auto" w:sz="4" w:space="0"/>
              <w:right w:val="single" w:color="auto" w:sz="4" w:space="0"/>
            </w:tcBorders>
            <w:shd w:val="clear" w:color="auto" w:fill="auto"/>
            <w:vAlign w:val="center"/>
          </w:tcPr>
          <w:p w14:paraId="2CF3E59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77B073CE">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从销售接单，到生产计划、物料采购、仓库进出料管理、质量管理、财务与成本核算，使企业管理更加灵活的面对供需变动。掌握准确及时、完整信息的基础上，做出正确决策，采取准确管理的措施。</w:t>
            </w:r>
          </w:p>
        </w:tc>
        <w:tc>
          <w:tcPr>
            <w:tcW w:w="1551" w:type="dxa"/>
            <w:tcBorders>
              <w:top w:val="single" w:color="auto" w:sz="4" w:space="0"/>
              <w:left w:val="nil"/>
              <w:bottom w:val="single" w:color="auto" w:sz="4" w:space="0"/>
              <w:right w:val="single" w:color="auto" w:sz="4" w:space="0"/>
            </w:tcBorders>
            <w:shd w:val="clear" w:color="auto" w:fill="auto"/>
            <w:vAlign w:val="center"/>
          </w:tcPr>
          <w:p w14:paraId="44D8AFA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5</w:t>
            </w:r>
            <w:r>
              <w:rPr>
                <w:rFonts w:hint="eastAsia" w:ascii="仿宋_GB2312" w:hAnsi="仿宋_GB2312" w:eastAsia="仿宋_GB2312" w:cs="仿宋_GB2312"/>
                <w:kern w:val="0"/>
                <w:sz w:val="24"/>
                <w:szCs w:val="24"/>
                <w:lang w:eastAsia="zh-CN"/>
              </w:rPr>
              <w:t>万元</w:t>
            </w:r>
            <w:r>
              <w:rPr>
                <w:rFonts w:hint="eastAsia" w:ascii="仿宋_GB2312" w:hAnsi="等线" w:eastAsia="仿宋_GB2312" w:cs="宋体"/>
                <w:kern w:val="0"/>
                <w:sz w:val="24"/>
                <w:szCs w:val="24"/>
                <w:lang w:val="en-US" w:eastAsia="zh-CN"/>
              </w:rPr>
              <w:t>-50万元</w:t>
            </w:r>
          </w:p>
        </w:tc>
        <w:tc>
          <w:tcPr>
            <w:tcW w:w="3772" w:type="dxa"/>
            <w:tcBorders>
              <w:top w:val="single" w:color="auto" w:sz="4" w:space="0"/>
              <w:left w:val="nil"/>
              <w:bottom w:val="single" w:color="auto" w:sz="4" w:space="0"/>
              <w:right w:val="single" w:color="auto" w:sz="4" w:space="0"/>
            </w:tcBorders>
            <w:shd w:val="clear" w:color="auto" w:fill="auto"/>
            <w:vAlign w:val="center"/>
          </w:tcPr>
          <w:p w14:paraId="26CBB411">
            <w:pPr>
              <w:widowControl/>
              <w:jc w:val="center"/>
              <w:rPr>
                <w:rFonts w:hint="eastAsia" w:ascii="仿宋_GB2312" w:hAnsi="等线" w:eastAsia="仿宋_GB2312" w:cs="宋体"/>
                <w:kern w:val="0"/>
                <w:sz w:val="24"/>
                <w:szCs w:val="24"/>
                <w:lang w:val="en-US" w:eastAsia="zh-CN" w:bidi="ar-SA"/>
              </w:rPr>
            </w:pPr>
          </w:p>
        </w:tc>
      </w:tr>
      <w:tr w14:paraId="4360F21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520F11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61693201">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金蝶云星辰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0BB363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4EA4307B">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面向小微企业财务进销存管理环节，数字化水平低，业务财务管理难，数据混乱问题，实现财务进销存、零售、订货商城一体化管理。  </w:t>
            </w:r>
          </w:p>
          <w:p w14:paraId="69759CD6">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 xml:space="preserve">聚焦小型企业在线经营和数字化管理，以“新财税、新营销、新平台”三大特性赋能企业，提供财务云、税务云、进销存云、订货商城等SaaS服务，支持小型企业拓客开源、智能管理、实时决策。 </w:t>
            </w:r>
          </w:p>
        </w:tc>
        <w:tc>
          <w:tcPr>
            <w:tcW w:w="1551" w:type="dxa"/>
            <w:tcBorders>
              <w:top w:val="single" w:color="auto" w:sz="4" w:space="0"/>
              <w:left w:val="nil"/>
              <w:bottom w:val="single" w:color="auto" w:sz="4" w:space="0"/>
              <w:right w:val="single" w:color="auto" w:sz="4" w:space="0"/>
            </w:tcBorders>
            <w:shd w:val="clear" w:color="auto" w:fill="auto"/>
            <w:vAlign w:val="center"/>
          </w:tcPr>
          <w:p w14:paraId="079D37C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0.5</w:t>
            </w:r>
            <w:r>
              <w:rPr>
                <w:rFonts w:hint="eastAsia" w:ascii="仿宋_GB2312" w:hAnsi="仿宋_GB2312" w:eastAsia="仿宋_GB2312" w:cs="仿宋_GB2312"/>
                <w:kern w:val="0"/>
                <w:sz w:val="24"/>
                <w:szCs w:val="24"/>
                <w:lang w:eastAsia="zh-CN"/>
              </w:rPr>
              <w:t>万元</w:t>
            </w:r>
            <w:r>
              <w:rPr>
                <w:rFonts w:hint="eastAsia" w:ascii="仿宋_GB2312" w:hAnsi="等线" w:eastAsia="仿宋_GB2312" w:cs="宋体"/>
                <w:kern w:val="0"/>
                <w:sz w:val="24"/>
                <w:szCs w:val="24"/>
                <w:lang w:val="en-US" w:eastAsia="zh-CN"/>
              </w:rPr>
              <w:t>-5万元</w:t>
            </w:r>
          </w:p>
        </w:tc>
        <w:tc>
          <w:tcPr>
            <w:tcW w:w="3772" w:type="dxa"/>
            <w:tcBorders>
              <w:top w:val="single" w:color="auto" w:sz="4" w:space="0"/>
              <w:left w:val="nil"/>
              <w:bottom w:val="single" w:color="auto" w:sz="4" w:space="0"/>
              <w:right w:val="single" w:color="auto" w:sz="4" w:space="0"/>
            </w:tcBorders>
            <w:shd w:val="clear" w:color="auto" w:fill="auto"/>
            <w:vAlign w:val="center"/>
          </w:tcPr>
          <w:p w14:paraId="3DB33086">
            <w:pPr>
              <w:widowControl/>
              <w:jc w:val="center"/>
              <w:rPr>
                <w:rFonts w:hint="eastAsia" w:ascii="仿宋_GB2312" w:hAnsi="等线" w:eastAsia="仿宋_GB2312" w:cs="宋体"/>
                <w:kern w:val="0"/>
                <w:sz w:val="24"/>
                <w:szCs w:val="24"/>
                <w:lang w:val="en-US" w:eastAsia="zh-CN" w:bidi="ar-SA"/>
              </w:rPr>
            </w:pPr>
          </w:p>
        </w:tc>
      </w:tr>
    </w:tbl>
    <w:p w14:paraId="4A27C20C">
      <w:pPr>
        <w:spacing w:line="560" w:lineRule="exact"/>
        <w:rPr>
          <w:rFonts w:hint="eastAsia" w:ascii="仿宋_GB2312" w:hAnsi="仿宋_GB2312" w:eastAsia="仿宋_GB2312" w:cs="仿宋_GB2312"/>
          <w:bCs/>
          <w:sz w:val="32"/>
          <w:szCs w:val="32"/>
          <w:lang w:eastAsia="zh-CN"/>
        </w:rPr>
      </w:pPr>
    </w:p>
    <w:p w14:paraId="1058F4E8">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十一</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联合体成员：佛山工链云智能系统有限公司  </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36"/>
      </w:tblGrid>
      <w:tr w14:paraId="3DEDA62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8A9205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1C1D04B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46E2652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8FA028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4957978">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836" w:type="dxa"/>
            <w:tcBorders>
              <w:top w:val="single" w:color="auto" w:sz="4" w:space="0"/>
              <w:left w:val="nil"/>
              <w:bottom w:val="single" w:color="auto" w:sz="4" w:space="0"/>
              <w:right w:val="single" w:color="auto" w:sz="4" w:space="0"/>
            </w:tcBorders>
            <w:shd w:val="clear" w:color="auto" w:fill="auto"/>
            <w:vAlign w:val="center"/>
          </w:tcPr>
          <w:p w14:paraId="54D1F71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28DEFFD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8C9F9DB">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510F7D10">
            <w:pPr>
              <w:widowControl/>
              <w:spacing w:line="240" w:lineRule="auto"/>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轻链云工业APP</w:t>
            </w:r>
          </w:p>
        </w:tc>
        <w:tc>
          <w:tcPr>
            <w:tcW w:w="2318" w:type="dxa"/>
            <w:tcBorders>
              <w:top w:val="single" w:color="auto" w:sz="4" w:space="0"/>
              <w:left w:val="nil"/>
              <w:bottom w:val="single" w:color="auto" w:sz="4" w:space="0"/>
              <w:right w:val="single" w:color="auto" w:sz="4" w:space="0"/>
            </w:tcBorders>
            <w:shd w:val="clear" w:color="auto" w:fill="auto"/>
            <w:vAlign w:val="center"/>
          </w:tcPr>
          <w:p w14:paraId="1CCBDFD6">
            <w:pPr>
              <w:widowControl/>
              <w:spacing w:line="240" w:lineRule="auto"/>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装备及配件行业</w:t>
            </w:r>
            <w:r>
              <w:rPr>
                <w:rFonts w:hint="eastAsia" w:ascii="仿宋_GB2312" w:hAnsi="仿宋_GB2312" w:eastAsia="仿宋_GB2312" w:cs="仿宋_GB2312"/>
                <w:b w:val="0"/>
                <w:bCs w:val="0"/>
                <w:color w:val="auto"/>
                <w:kern w:val="0"/>
                <w:sz w:val="24"/>
                <w:szCs w:val="24"/>
                <w:lang w:eastAsia="zh-CN"/>
              </w:rPr>
              <w:t>生产执行系统，中小型制造业从"0-1"实现数字化转型方案</w:t>
            </w:r>
          </w:p>
        </w:tc>
        <w:tc>
          <w:tcPr>
            <w:tcW w:w="4387" w:type="dxa"/>
            <w:tcBorders>
              <w:top w:val="single" w:color="auto" w:sz="4" w:space="0"/>
              <w:left w:val="nil"/>
              <w:bottom w:val="single" w:color="auto" w:sz="4" w:space="0"/>
              <w:right w:val="single" w:color="auto" w:sz="4" w:space="0"/>
            </w:tcBorders>
            <w:shd w:val="clear" w:color="auto" w:fill="auto"/>
            <w:vAlign w:val="center"/>
          </w:tcPr>
          <w:p w14:paraId="41B3926B">
            <w:pPr>
              <w:widowControl/>
              <w:spacing w:line="240" w:lineRule="auto"/>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工厂建模（基础资料及工艺路线设置）、计划下达、手机扫码生产执行（生产流程卡、产量采集、异常呼叫、质量检验）、手机统计（产量、计时计件统计）、进度看板、异常看板</w:t>
            </w:r>
          </w:p>
        </w:tc>
        <w:tc>
          <w:tcPr>
            <w:tcW w:w="1551" w:type="dxa"/>
            <w:tcBorders>
              <w:top w:val="single" w:color="auto" w:sz="4" w:space="0"/>
              <w:left w:val="nil"/>
              <w:bottom w:val="single" w:color="auto" w:sz="4" w:space="0"/>
              <w:right w:val="single" w:color="auto" w:sz="4" w:space="0"/>
            </w:tcBorders>
            <w:shd w:val="clear" w:color="auto" w:fill="auto"/>
            <w:vAlign w:val="center"/>
          </w:tcPr>
          <w:p w14:paraId="497082C7">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0.9</w:t>
            </w:r>
            <w:r>
              <w:rPr>
                <w:rFonts w:hint="eastAsia" w:ascii="仿宋_GB2312" w:hAnsi="仿宋_GB2312" w:eastAsia="仿宋_GB2312" w:cs="仿宋_GB2312"/>
                <w:b w:val="0"/>
                <w:bCs w:val="0"/>
                <w:kern w:val="0"/>
                <w:sz w:val="24"/>
                <w:szCs w:val="24"/>
                <w:lang w:eastAsia="zh-CN"/>
              </w:rPr>
              <w:t>万元</w:t>
            </w:r>
            <w:r>
              <w:rPr>
                <w:rFonts w:hint="eastAsia" w:ascii="仿宋_GB2312" w:hAnsi="仿宋_GB2312" w:eastAsia="仿宋_GB2312" w:cs="仿宋_GB2312"/>
                <w:b w:val="0"/>
                <w:bCs w:val="0"/>
                <w:kern w:val="0"/>
                <w:sz w:val="24"/>
                <w:szCs w:val="24"/>
              </w:rPr>
              <w:t>--6.9</w:t>
            </w:r>
            <w:r>
              <w:rPr>
                <w:rFonts w:hint="eastAsia" w:ascii="仿宋_GB2312" w:hAnsi="仿宋_GB2312" w:eastAsia="仿宋_GB2312" w:cs="仿宋_GB2312"/>
                <w:b w:val="0"/>
                <w:bCs w:val="0"/>
                <w:kern w:val="0"/>
                <w:sz w:val="24"/>
                <w:szCs w:val="24"/>
                <w:lang w:eastAsia="zh-CN"/>
              </w:rPr>
              <w:t>万元</w:t>
            </w:r>
            <w:r>
              <w:rPr>
                <w:rFonts w:hint="eastAsia" w:ascii="仿宋_GB2312" w:hAnsi="仿宋_GB2312" w:eastAsia="仿宋_GB2312" w:cs="仿宋_GB2312"/>
                <w:b w:val="0"/>
                <w:bCs w:val="0"/>
                <w:kern w:val="0"/>
                <w:sz w:val="24"/>
                <w:szCs w:val="24"/>
              </w:rPr>
              <w:t>/年</w:t>
            </w:r>
          </w:p>
          <w:p w14:paraId="1FEFC13E">
            <w:pPr>
              <w:widowControl/>
              <w:spacing w:line="240" w:lineRule="auto"/>
              <w:jc w:val="left"/>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或</w:t>
            </w:r>
          </w:p>
          <w:p w14:paraId="74B5C97B">
            <w:pPr>
              <w:widowControl/>
              <w:spacing w:line="240" w:lineRule="auto"/>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b w:val="0"/>
                <w:bCs w:val="0"/>
                <w:kern w:val="0"/>
                <w:sz w:val="24"/>
                <w:szCs w:val="24"/>
              </w:rPr>
              <w:t>5</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b w:val="0"/>
                <w:bCs w:val="0"/>
                <w:kern w:val="0"/>
                <w:sz w:val="24"/>
                <w:szCs w:val="24"/>
              </w:rPr>
              <w:t>-35</w:t>
            </w:r>
            <w:r>
              <w:rPr>
                <w:rFonts w:hint="eastAsia" w:ascii="仿宋_GB2312" w:hAnsi="仿宋_GB2312" w:eastAsia="仿宋_GB2312" w:cs="仿宋_GB2312"/>
                <w:b w:val="0"/>
                <w:bCs w:val="0"/>
                <w:kern w:val="0"/>
                <w:sz w:val="24"/>
                <w:szCs w:val="24"/>
                <w:lang w:eastAsia="zh-CN"/>
              </w:rPr>
              <w:t>万元</w:t>
            </w:r>
          </w:p>
        </w:tc>
        <w:tc>
          <w:tcPr>
            <w:tcW w:w="3836" w:type="dxa"/>
            <w:tcBorders>
              <w:top w:val="single" w:color="auto" w:sz="4" w:space="0"/>
              <w:left w:val="nil"/>
              <w:bottom w:val="single" w:color="auto" w:sz="4" w:space="0"/>
              <w:right w:val="single" w:color="auto" w:sz="4" w:space="0"/>
            </w:tcBorders>
            <w:shd w:val="clear" w:color="auto" w:fill="auto"/>
            <w:vAlign w:val="center"/>
          </w:tcPr>
          <w:p w14:paraId="6B3C1279">
            <w:pPr>
              <w:widowControl/>
              <w:spacing w:line="240" w:lineRule="auto"/>
              <w:jc w:val="left"/>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b w:val="0"/>
                <w:bCs w:val="0"/>
                <w:color w:val="auto"/>
                <w:kern w:val="0"/>
                <w:sz w:val="24"/>
                <w:szCs w:val="24"/>
              </w:rPr>
              <w:t>佛山资源池产品</w:t>
            </w:r>
          </w:p>
        </w:tc>
      </w:tr>
      <w:tr w14:paraId="488C8FB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A928FF6">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D98B63C">
            <w:pPr>
              <w:widowControl/>
              <w:spacing w:line="240" w:lineRule="auto"/>
              <w:jc w:val="center"/>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b w:val="0"/>
                <w:bCs w:val="0"/>
                <w:color w:val="auto"/>
                <w:kern w:val="0"/>
                <w:sz w:val="24"/>
                <w:szCs w:val="24"/>
              </w:rPr>
              <w:t>轻云MES系统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BA586FF">
            <w:pPr>
              <w:widowControl/>
              <w:spacing w:line="240" w:lineRule="auto"/>
              <w:jc w:val="left"/>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b w:val="0"/>
                <w:bCs w:val="0"/>
                <w:color w:val="auto"/>
                <w:kern w:val="0"/>
                <w:sz w:val="24"/>
                <w:szCs w:val="24"/>
                <w:lang w:eastAsia="zh-CN"/>
              </w:rPr>
              <w:t>中小型</w:t>
            </w:r>
            <w:r>
              <w:rPr>
                <w:rFonts w:hint="eastAsia" w:ascii="仿宋_GB2312" w:hAnsi="仿宋_GB2312" w:eastAsia="仿宋_GB2312" w:cs="仿宋_GB2312"/>
                <w:b w:val="0"/>
                <w:bCs w:val="0"/>
                <w:color w:val="auto"/>
                <w:kern w:val="0"/>
                <w:sz w:val="24"/>
                <w:szCs w:val="24"/>
                <w:lang w:val="en-US" w:eastAsia="zh-CN"/>
              </w:rPr>
              <w:t>装配及配件行业</w:t>
            </w:r>
            <w:r>
              <w:rPr>
                <w:rFonts w:hint="eastAsia" w:ascii="仿宋_GB2312" w:hAnsi="仿宋_GB2312" w:eastAsia="仿宋_GB2312" w:cs="仿宋_GB2312"/>
                <w:b w:val="0"/>
                <w:bCs w:val="0"/>
                <w:color w:val="auto"/>
                <w:kern w:val="0"/>
                <w:sz w:val="24"/>
                <w:szCs w:val="24"/>
                <w:lang w:eastAsia="zh-CN"/>
              </w:rPr>
              <w:t>精益生产执行业务场景应用</w:t>
            </w:r>
          </w:p>
        </w:tc>
        <w:tc>
          <w:tcPr>
            <w:tcW w:w="4387" w:type="dxa"/>
            <w:tcBorders>
              <w:top w:val="single" w:color="auto" w:sz="4" w:space="0"/>
              <w:left w:val="nil"/>
              <w:bottom w:val="single" w:color="auto" w:sz="4" w:space="0"/>
              <w:right w:val="single" w:color="auto" w:sz="4" w:space="0"/>
            </w:tcBorders>
            <w:shd w:val="clear" w:color="auto" w:fill="auto"/>
            <w:vAlign w:val="center"/>
          </w:tcPr>
          <w:p w14:paraId="0EDEE17C">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rPr>
              <w:t>基础资料及工艺路线、计划排程及工单分配、一体机生产执行平台（生产任务、工艺、工序流转、完工、报工、质量、异常、ESOP)、质检管理、异常管理、设备监测、产品追溯、能源监测、电子综合看板、系统集成</w:t>
            </w:r>
            <w:r>
              <w:rPr>
                <w:rFonts w:hint="eastAsia" w:ascii="仿宋_GB2312" w:hAnsi="仿宋_GB2312" w:eastAsia="仿宋_GB2312" w:cs="仿宋_GB2312"/>
                <w:b w:val="0"/>
                <w:bCs w:val="0"/>
                <w:color w:val="auto"/>
                <w:kern w:val="0"/>
                <w:sz w:val="24"/>
                <w:szCs w:val="24"/>
                <w:lang w:eastAsia="zh-CN"/>
              </w:rPr>
              <w:t>。</w:t>
            </w:r>
          </w:p>
          <w:p w14:paraId="47DBFFB6">
            <w:pPr>
              <w:widowControl/>
              <w:spacing w:line="240" w:lineRule="auto"/>
              <w:jc w:val="left"/>
              <w:rPr>
                <w:rFonts w:hint="eastAsia" w:ascii="仿宋_GB2312" w:hAnsi="等线" w:eastAsia="仿宋_GB2312" w:cs="宋体"/>
                <w:kern w:val="0"/>
                <w:sz w:val="24"/>
                <w:szCs w:val="24"/>
                <w:lang w:val="en-US" w:eastAsia="zh-CN" w:bidi="ar-SA"/>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39A6409D">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10</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b w:val="0"/>
                <w:bCs w:val="0"/>
                <w:kern w:val="0"/>
                <w:sz w:val="24"/>
                <w:szCs w:val="24"/>
              </w:rPr>
              <w:t>-3</w:t>
            </w:r>
            <w:r>
              <w:rPr>
                <w:rFonts w:hint="eastAsia" w:ascii="仿宋_GB2312" w:hAnsi="仿宋_GB2312" w:eastAsia="仿宋_GB2312" w:cs="仿宋_GB2312"/>
                <w:b w:val="0"/>
                <w:bCs w:val="0"/>
                <w:kern w:val="0"/>
                <w:sz w:val="24"/>
                <w:szCs w:val="24"/>
                <w:lang w:eastAsia="zh-CN"/>
              </w:rPr>
              <w:t>万元</w:t>
            </w:r>
            <w:r>
              <w:rPr>
                <w:rFonts w:hint="eastAsia" w:ascii="仿宋_GB2312" w:hAnsi="仿宋_GB2312" w:eastAsia="仿宋_GB2312" w:cs="仿宋_GB2312"/>
                <w:b w:val="0"/>
                <w:bCs w:val="0"/>
                <w:kern w:val="0"/>
                <w:sz w:val="24"/>
                <w:szCs w:val="24"/>
              </w:rPr>
              <w:t>/年</w:t>
            </w:r>
          </w:p>
          <w:p w14:paraId="1D62C72A">
            <w:pPr>
              <w:widowControl/>
              <w:spacing w:line="240" w:lineRule="auto"/>
              <w:jc w:val="left"/>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或</w:t>
            </w:r>
          </w:p>
          <w:p w14:paraId="2465AF2A">
            <w:pPr>
              <w:widowControl/>
              <w:spacing w:line="240" w:lineRule="auto"/>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b w:val="0"/>
                <w:bCs w:val="0"/>
                <w:kern w:val="0"/>
                <w:sz w:val="24"/>
                <w:szCs w:val="24"/>
              </w:rPr>
              <w:t>20</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b w:val="0"/>
                <w:bCs w:val="0"/>
                <w:kern w:val="0"/>
                <w:sz w:val="24"/>
                <w:szCs w:val="24"/>
              </w:rPr>
              <w:t>-200</w:t>
            </w:r>
            <w:r>
              <w:rPr>
                <w:rFonts w:hint="eastAsia" w:ascii="仿宋_GB2312" w:hAnsi="仿宋_GB2312" w:eastAsia="仿宋_GB2312" w:cs="仿宋_GB2312"/>
                <w:b w:val="0"/>
                <w:bCs w:val="0"/>
                <w:kern w:val="0"/>
                <w:sz w:val="24"/>
                <w:szCs w:val="24"/>
                <w:lang w:eastAsia="zh-CN"/>
              </w:rPr>
              <w:t>万元</w:t>
            </w:r>
          </w:p>
        </w:tc>
        <w:tc>
          <w:tcPr>
            <w:tcW w:w="3836" w:type="dxa"/>
            <w:tcBorders>
              <w:top w:val="single" w:color="auto" w:sz="4" w:space="0"/>
              <w:left w:val="nil"/>
              <w:bottom w:val="single" w:color="auto" w:sz="4" w:space="0"/>
              <w:right w:val="single" w:color="auto" w:sz="4" w:space="0"/>
            </w:tcBorders>
            <w:shd w:val="clear" w:color="auto" w:fill="auto"/>
            <w:vAlign w:val="center"/>
          </w:tcPr>
          <w:p w14:paraId="3B36F4BC">
            <w:pPr>
              <w:widowControl/>
              <w:spacing w:line="240" w:lineRule="auto"/>
              <w:jc w:val="left"/>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b w:val="0"/>
                <w:bCs w:val="0"/>
                <w:color w:val="auto"/>
                <w:kern w:val="0"/>
                <w:sz w:val="24"/>
                <w:szCs w:val="24"/>
              </w:rPr>
              <w:t>佛山资源池产品</w:t>
            </w:r>
          </w:p>
        </w:tc>
      </w:tr>
      <w:tr w14:paraId="22BE4DA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E539024">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637AEE86">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工链云智能排程系统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79809DF">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eastAsia="zh-CN"/>
              </w:rPr>
              <w:t>中小型</w:t>
            </w:r>
            <w:r>
              <w:rPr>
                <w:rFonts w:hint="eastAsia" w:ascii="仿宋_GB2312" w:hAnsi="仿宋_GB2312" w:eastAsia="仿宋_GB2312" w:cs="仿宋_GB2312"/>
                <w:b w:val="0"/>
                <w:bCs w:val="0"/>
                <w:color w:val="auto"/>
                <w:kern w:val="0"/>
                <w:sz w:val="24"/>
                <w:szCs w:val="24"/>
                <w:lang w:val="en-US" w:eastAsia="zh-CN"/>
              </w:rPr>
              <w:t>装配及配件行业智能排程系统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70D2D97E">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排程参数设置、排程规则、一键排程、排程算法。</w:t>
            </w:r>
          </w:p>
          <w:p w14:paraId="12BEA855">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订单达时率90%-100%，物料配送合理，减少库存积压。</w:t>
            </w:r>
          </w:p>
        </w:tc>
        <w:tc>
          <w:tcPr>
            <w:tcW w:w="1551" w:type="dxa"/>
            <w:tcBorders>
              <w:top w:val="single" w:color="auto" w:sz="4" w:space="0"/>
              <w:left w:val="nil"/>
              <w:bottom w:val="single" w:color="auto" w:sz="4" w:space="0"/>
              <w:right w:val="single" w:color="auto" w:sz="4" w:space="0"/>
            </w:tcBorders>
            <w:shd w:val="clear" w:color="auto" w:fill="auto"/>
            <w:vAlign w:val="center"/>
          </w:tcPr>
          <w:p w14:paraId="12ECDC88">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5</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b w:val="0"/>
                <w:bCs w:val="0"/>
                <w:kern w:val="0"/>
                <w:sz w:val="24"/>
                <w:szCs w:val="24"/>
              </w:rPr>
              <w:t>-10</w:t>
            </w:r>
            <w:r>
              <w:rPr>
                <w:rFonts w:hint="eastAsia" w:ascii="仿宋_GB2312" w:hAnsi="仿宋_GB2312" w:eastAsia="仿宋_GB2312" w:cs="仿宋_GB2312"/>
                <w:b w:val="0"/>
                <w:bCs w:val="0"/>
                <w:kern w:val="0"/>
                <w:sz w:val="24"/>
                <w:szCs w:val="24"/>
                <w:lang w:eastAsia="zh-CN"/>
              </w:rPr>
              <w:t>万元</w:t>
            </w:r>
            <w:r>
              <w:rPr>
                <w:rFonts w:hint="eastAsia" w:ascii="仿宋_GB2312" w:hAnsi="仿宋_GB2312" w:eastAsia="仿宋_GB2312" w:cs="仿宋_GB2312"/>
                <w:b w:val="0"/>
                <w:bCs w:val="0"/>
                <w:kern w:val="0"/>
                <w:sz w:val="24"/>
                <w:szCs w:val="24"/>
              </w:rPr>
              <w:t>/年</w:t>
            </w:r>
          </w:p>
          <w:p w14:paraId="288E4A26">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lang w:eastAsia="zh-CN"/>
              </w:rPr>
            </w:pPr>
            <w:r>
              <w:rPr>
                <w:rFonts w:hint="eastAsia" w:ascii="仿宋_GB2312" w:hAnsi="仿宋_GB2312" w:eastAsia="仿宋_GB2312" w:cs="仿宋_GB2312"/>
                <w:b w:val="0"/>
                <w:bCs w:val="0"/>
                <w:kern w:val="0"/>
                <w:sz w:val="24"/>
                <w:szCs w:val="24"/>
              </w:rPr>
              <w:t>或10-100</w:t>
            </w:r>
            <w:r>
              <w:rPr>
                <w:rFonts w:hint="eastAsia" w:ascii="仿宋_GB2312" w:hAnsi="仿宋_GB2312" w:eastAsia="仿宋_GB2312" w:cs="仿宋_GB2312"/>
                <w:b w:val="0"/>
                <w:bCs w:val="0"/>
                <w:kern w:val="0"/>
                <w:sz w:val="24"/>
                <w:szCs w:val="24"/>
                <w:lang w:eastAsia="zh-CN"/>
              </w:rPr>
              <w:t>万元</w:t>
            </w:r>
          </w:p>
        </w:tc>
        <w:tc>
          <w:tcPr>
            <w:tcW w:w="3836" w:type="dxa"/>
            <w:tcBorders>
              <w:top w:val="single" w:color="auto" w:sz="4" w:space="0"/>
              <w:left w:val="nil"/>
              <w:bottom w:val="single" w:color="auto" w:sz="4" w:space="0"/>
              <w:right w:val="single" w:color="auto" w:sz="4" w:space="0"/>
            </w:tcBorders>
            <w:shd w:val="clear" w:color="auto" w:fill="auto"/>
            <w:vAlign w:val="center"/>
          </w:tcPr>
          <w:p w14:paraId="1D645CB4">
            <w:pPr>
              <w:spacing w:line="240" w:lineRule="auto"/>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w:t>
            </w:r>
          </w:p>
        </w:tc>
      </w:tr>
      <w:tr w14:paraId="4885B22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9F99BDB">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36618C3">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工链云设备管理系统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00F07C5">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中小企业设备管理系统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7B3B9394">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设备台账、设备履历、设备保养、设备点检、设备维修、配件管理、设备看板</w:t>
            </w:r>
          </w:p>
          <w:p w14:paraId="0CCE1D27">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设备互联数据采集（可选）</w:t>
            </w:r>
          </w:p>
          <w:p w14:paraId="07BBEE77">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设备系统提升企业设备的整体管理水平</w:t>
            </w:r>
          </w:p>
        </w:tc>
        <w:tc>
          <w:tcPr>
            <w:tcW w:w="1551" w:type="dxa"/>
            <w:tcBorders>
              <w:top w:val="single" w:color="auto" w:sz="4" w:space="0"/>
              <w:left w:val="nil"/>
              <w:bottom w:val="single" w:color="auto" w:sz="4" w:space="0"/>
              <w:right w:val="single" w:color="auto" w:sz="4" w:space="0"/>
            </w:tcBorders>
            <w:shd w:val="clear" w:color="auto" w:fill="auto"/>
            <w:vAlign w:val="center"/>
          </w:tcPr>
          <w:p w14:paraId="54080F33">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1</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b w:val="0"/>
                <w:bCs w:val="0"/>
                <w:kern w:val="0"/>
                <w:sz w:val="24"/>
                <w:szCs w:val="24"/>
              </w:rPr>
              <w:t>-5</w:t>
            </w:r>
            <w:r>
              <w:rPr>
                <w:rFonts w:hint="eastAsia" w:ascii="仿宋_GB2312" w:hAnsi="仿宋_GB2312" w:eastAsia="仿宋_GB2312" w:cs="仿宋_GB2312"/>
                <w:b w:val="0"/>
                <w:bCs w:val="0"/>
                <w:kern w:val="0"/>
                <w:sz w:val="24"/>
                <w:szCs w:val="24"/>
                <w:lang w:eastAsia="zh-CN"/>
              </w:rPr>
              <w:t>万元</w:t>
            </w:r>
            <w:r>
              <w:rPr>
                <w:rFonts w:hint="eastAsia" w:ascii="仿宋_GB2312" w:hAnsi="仿宋_GB2312" w:eastAsia="仿宋_GB2312" w:cs="仿宋_GB2312"/>
                <w:b w:val="0"/>
                <w:bCs w:val="0"/>
                <w:kern w:val="0"/>
                <w:sz w:val="24"/>
                <w:szCs w:val="24"/>
              </w:rPr>
              <w:t>/年</w:t>
            </w:r>
          </w:p>
          <w:p w14:paraId="104ABE90">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或</w:t>
            </w:r>
          </w:p>
          <w:p w14:paraId="1280648A">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lang w:eastAsia="zh-CN"/>
              </w:rPr>
            </w:pPr>
            <w:r>
              <w:rPr>
                <w:rFonts w:hint="eastAsia" w:ascii="仿宋_GB2312" w:hAnsi="仿宋_GB2312" w:eastAsia="仿宋_GB2312" w:cs="仿宋_GB2312"/>
                <w:b w:val="0"/>
                <w:bCs w:val="0"/>
                <w:kern w:val="0"/>
                <w:sz w:val="24"/>
                <w:szCs w:val="24"/>
              </w:rPr>
              <w:t>10</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b w:val="0"/>
                <w:bCs w:val="0"/>
                <w:kern w:val="0"/>
                <w:sz w:val="24"/>
                <w:szCs w:val="24"/>
              </w:rPr>
              <w:t>-60</w:t>
            </w:r>
            <w:r>
              <w:rPr>
                <w:rFonts w:hint="eastAsia" w:ascii="仿宋_GB2312" w:hAnsi="仿宋_GB2312" w:eastAsia="仿宋_GB2312" w:cs="仿宋_GB2312"/>
                <w:b w:val="0"/>
                <w:bCs w:val="0"/>
                <w:kern w:val="0"/>
                <w:sz w:val="24"/>
                <w:szCs w:val="24"/>
                <w:lang w:eastAsia="zh-CN"/>
              </w:rPr>
              <w:t>万元</w:t>
            </w:r>
          </w:p>
        </w:tc>
        <w:tc>
          <w:tcPr>
            <w:tcW w:w="3836" w:type="dxa"/>
            <w:tcBorders>
              <w:top w:val="single" w:color="auto" w:sz="4" w:space="0"/>
              <w:left w:val="nil"/>
              <w:bottom w:val="single" w:color="auto" w:sz="4" w:space="0"/>
              <w:right w:val="single" w:color="auto" w:sz="4" w:space="0"/>
            </w:tcBorders>
            <w:shd w:val="clear" w:color="auto" w:fill="auto"/>
            <w:vAlign w:val="center"/>
          </w:tcPr>
          <w:p w14:paraId="42B0B0C5">
            <w:pPr>
              <w:spacing w:line="240" w:lineRule="auto"/>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佛山资源池产品</w:t>
            </w:r>
          </w:p>
        </w:tc>
      </w:tr>
      <w:tr w14:paraId="2F32573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1C669EA">
            <w:pPr>
              <w:keepNext w:val="0"/>
              <w:keepLines w:val="0"/>
              <w:widowControl/>
              <w:suppressLineNumbers w:val="0"/>
              <w:spacing w:line="240" w:lineRule="auto"/>
              <w:jc w:val="center"/>
              <w:textAlignment w:val="center"/>
              <w:rPr>
                <w:rFonts w:hint="default"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61A34CAE">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工链云WMS系统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87E625D">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面向中小企业智慧仓储管理系统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3B398362">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rPr>
              <w:t>条码规则、条码出库、条码入库、条码盘点、条码调拨、物料配送、条码追溯、仓位管理</w:t>
            </w:r>
            <w:r>
              <w:rPr>
                <w:rFonts w:hint="eastAsia" w:ascii="仿宋_GB2312" w:hAnsi="仿宋_GB2312" w:eastAsia="仿宋_GB2312" w:cs="仿宋_GB2312"/>
                <w:b w:val="0"/>
                <w:bCs w:val="0"/>
                <w:color w:val="auto"/>
                <w:kern w:val="0"/>
                <w:sz w:val="24"/>
                <w:szCs w:val="24"/>
                <w:lang w:eastAsia="zh-CN"/>
              </w:rPr>
              <w:t>。</w:t>
            </w:r>
          </w:p>
          <w:p w14:paraId="5FB8FB45">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eastAsia="zh-CN"/>
              </w:rPr>
              <w:t>利用物料条码，结合PDA扫码。提升物料、成品的出入库、调拨、盘点业务处理效率。结合排产，自动出具备料看板，指导仓库备料及配送生产工位。</w:t>
            </w:r>
          </w:p>
        </w:tc>
        <w:tc>
          <w:tcPr>
            <w:tcW w:w="1551" w:type="dxa"/>
            <w:tcBorders>
              <w:top w:val="single" w:color="auto" w:sz="4" w:space="0"/>
              <w:left w:val="nil"/>
              <w:bottom w:val="single" w:color="auto" w:sz="4" w:space="0"/>
              <w:right w:val="single" w:color="auto" w:sz="4" w:space="0"/>
            </w:tcBorders>
            <w:shd w:val="clear" w:color="auto" w:fill="auto"/>
            <w:vAlign w:val="center"/>
          </w:tcPr>
          <w:p w14:paraId="6D4D6977">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lang w:eastAsia="zh-CN"/>
              </w:rPr>
            </w:pPr>
            <w:r>
              <w:rPr>
                <w:rFonts w:hint="eastAsia" w:ascii="仿宋_GB2312" w:hAnsi="仿宋_GB2312" w:eastAsia="仿宋_GB2312" w:cs="仿宋_GB2312"/>
                <w:b w:val="0"/>
                <w:bCs w:val="0"/>
                <w:kern w:val="0"/>
                <w:sz w:val="24"/>
                <w:szCs w:val="24"/>
              </w:rPr>
              <w:t>15</w:t>
            </w:r>
            <w:r>
              <w:rPr>
                <w:rFonts w:hint="eastAsia" w:ascii="仿宋_GB2312" w:hAnsi="仿宋_GB2312" w:eastAsia="仿宋_GB2312" w:cs="仿宋_GB2312"/>
                <w:b w:val="0"/>
                <w:bCs w:val="0"/>
                <w:kern w:val="0"/>
                <w:sz w:val="24"/>
                <w:szCs w:val="24"/>
                <w:lang w:eastAsia="zh-CN"/>
              </w:rPr>
              <w:t>万元</w:t>
            </w:r>
            <w:r>
              <w:rPr>
                <w:rFonts w:hint="eastAsia" w:ascii="仿宋_GB2312" w:hAnsi="仿宋_GB2312" w:eastAsia="仿宋_GB2312" w:cs="仿宋_GB2312"/>
                <w:b w:val="0"/>
                <w:bCs w:val="0"/>
                <w:kern w:val="0"/>
                <w:sz w:val="24"/>
                <w:szCs w:val="24"/>
                <w:lang w:val="en-US" w:eastAsia="zh-CN"/>
              </w:rPr>
              <w:t>-</w:t>
            </w:r>
            <w:r>
              <w:rPr>
                <w:rFonts w:hint="eastAsia" w:ascii="仿宋_GB2312" w:hAnsi="仿宋_GB2312" w:eastAsia="仿宋_GB2312" w:cs="仿宋_GB2312"/>
                <w:b w:val="0"/>
                <w:bCs w:val="0"/>
                <w:kern w:val="0"/>
                <w:sz w:val="24"/>
                <w:szCs w:val="24"/>
              </w:rPr>
              <w:t>60</w:t>
            </w:r>
            <w:r>
              <w:rPr>
                <w:rFonts w:hint="eastAsia" w:ascii="仿宋_GB2312" w:hAnsi="仿宋_GB2312" w:eastAsia="仿宋_GB2312" w:cs="仿宋_GB2312"/>
                <w:b w:val="0"/>
                <w:bCs w:val="0"/>
                <w:kern w:val="0"/>
                <w:sz w:val="24"/>
                <w:szCs w:val="24"/>
                <w:lang w:eastAsia="zh-CN"/>
              </w:rPr>
              <w:t>万元</w:t>
            </w:r>
          </w:p>
        </w:tc>
        <w:tc>
          <w:tcPr>
            <w:tcW w:w="3836" w:type="dxa"/>
            <w:tcBorders>
              <w:top w:val="single" w:color="auto" w:sz="4" w:space="0"/>
              <w:left w:val="nil"/>
              <w:bottom w:val="single" w:color="auto" w:sz="4" w:space="0"/>
              <w:right w:val="single" w:color="auto" w:sz="4" w:space="0"/>
            </w:tcBorders>
            <w:shd w:val="clear" w:color="auto" w:fill="auto"/>
            <w:vAlign w:val="center"/>
          </w:tcPr>
          <w:p w14:paraId="074E7D5A">
            <w:pPr>
              <w:spacing w:line="240" w:lineRule="auto"/>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w:t>
            </w:r>
          </w:p>
        </w:tc>
      </w:tr>
    </w:tbl>
    <w:p w14:paraId="0916FC99">
      <w:pPr>
        <w:jc w:val="both"/>
        <w:rPr>
          <w:rFonts w:ascii="仿宋_GB2312" w:hAnsi="仿宋_GB2312" w:eastAsia="仿宋_GB2312" w:cs="仿宋_GB2312"/>
          <w:bCs/>
          <w:sz w:val="32"/>
          <w:szCs w:val="32"/>
        </w:rPr>
      </w:pPr>
    </w:p>
    <w:sectPr>
      <w:pgSz w:w="16838" w:h="11906" w:orient="landscape"/>
      <w:pgMar w:top="1588" w:right="1202" w:bottom="1078" w:left="120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45E7E">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0615F667">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0615F667">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MWI4YmM4ODI1OGVjMWQ1N2Y2MDJiZmI4NTYzNmIifQ=="/>
  </w:docVars>
  <w:rsids>
    <w:rsidRoot w:val="00172A27"/>
    <w:rsid w:val="0000165E"/>
    <w:rsid w:val="000021FA"/>
    <w:rsid w:val="00010735"/>
    <w:rsid w:val="0002699B"/>
    <w:rsid w:val="00037AF8"/>
    <w:rsid w:val="00052D6C"/>
    <w:rsid w:val="00073A45"/>
    <w:rsid w:val="000813C3"/>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90A83"/>
    <w:rsid w:val="001A432E"/>
    <w:rsid w:val="001A4A4E"/>
    <w:rsid w:val="001C2622"/>
    <w:rsid w:val="001C2C43"/>
    <w:rsid w:val="001C3556"/>
    <w:rsid w:val="001C3765"/>
    <w:rsid w:val="001F5409"/>
    <w:rsid w:val="00223748"/>
    <w:rsid w:val="002300A9"/>
    <w:rsid w:val="002440DD"/>
    <w:rsid w:val="002576A6"/>
    <w:rsid w:val="002717B1"/>
    <w:rsid w:val="00272836"/>
    <w:rsid w:val="00280521"/>
    <w:rsid w:val="0028435F"/>
    <w:rsid w:val="00292D15"/>
    <w:rsid w:val="002A18E8"/>
    <w:rsid w:val="002A39F5"/>
    <w:rsid w:val="002B697C"/>
    <w:rsid w:val="002C1AD3"/>
    <w:rsid w:val="002C29D5"/>
    <w:rsid w:val="002E63C6"/>
    <w:rsid w:val="002F4E00"/>
    <w:rsid w:val="002F56BA"/>
    <w:rsid w:val="003038CD"/>
    <w:rsid w:val="00337F4B"/>
    <w:rsid w:val="00343A3A"/>
    <w:rsid w:val="00347D34"/>
    <w:rsid w:val="00354BFF"/>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B168E"/>
    <w:rsid w:val="004D0238"/>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3EC5"/>
    <w:rsid w:val="0059673A"/>
    <w:rsid w:val="005B5CE8"/>
    <w:rsid w:val="005C02B3"/>
    <w:rsid w:val="005C6263"/>
    <w:rsid w:val="005D39EF"/>
    <w:rsid w:val="005F1026"/>
    <w:rsid w:val="00600E22"/>
    <w:rsid w:val="00602AA4"/>
    <w:rsid w:val="00602CBA"/>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B1BC6"/>
    <w:rsid w:val="006B3EC7"/>
    <w:rsid w:val="006B43F1"/>
    <w:rsid w:val="006D0C8E"/>
    <w:rsid w:val="006D3184"/>
    <w:rsid w:val="006D7404"/>
    <w:rsid w:val="006E2937"/>
    <w:rsid w:val="006E2AE3"/>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5F55"/>
    <w:rsid w:val="00813673"/>
    <w:rsid w:val="008204BB"/>
    <w:rsid w:val="00821B1A"/>
    <w:rsid w:val="00824199"/>
    <w:rsid w:val="00826A0F"/>
    <w:rsid w:val="00842DEF"/>
    <w:rsid w:val="00852B48"/>
    <w:rsid w:val="00854664"/>
    <w:rsid w:val="008649CC"/>
    <w:rsid w:val="008857C4"/>
    <w:rsid w:val="0088674B"/>
    <w:rsid w:val="008975D5"/>
    <w:rsid w:val="008A4104"/>
    <w:rsid w:val="008C0828"/>
    <w:rsid w:val="008D2CF6"/>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20F33"/>
    <w:rsid w:val="00A21DD6"/>
    <w:rsid w:val="00A2707A"/>
    <w:rsid w:val="00A546D4"/>
    <w:rsid w:val="00A54A3C"/>
    <w:rsid w:val="00A55F9E"/>
    <w:rsid w:val="00A72DF5"/>
    <w:rsid w:val="00A85A38"/>
    <w:rsid w:val="00A878C8"/>
    <w:rsid w:val="00A91885"/>
    <w:rsid w:val="00A964EF"/>
    <w:rsid w:val="00A97A0A"/>
    <w:rsid w:val="00AA0DC8"/>
    <w:rsid w:val="00AB5D12"/>
    <w:rsid w:val="00AD0A57"/>
    <w:rsid w:val="00AD0B86"/>
    <w:rsid w:val="00AD60E8"/>
    <w:rsid w:val="00AF1E04"/>
    <w:rsid w:val="00AF2CF2"/>
    <w:rsid w:val="00AF4963"/>
    <w:rsid w:val="00AF5A89"/>
    <w:rsid w:val="00B22643"/>
    <w:rsid w:val="00B26B8C"/>
    <w:rsid w:val="00B531A2"/>
    <w:rsid w:val="00B53CD7"/>
    <w:rsid w:val="00B60772"/>
    <w:rsid w:val="00B60774"/>
    <w:rsid w:val="00B664C0"/>
    <w:rsid w:val="00B717C3"/>
    <w:rsid w:val="00B7622E"/>
    <w:rsid w:val="00B8020A"/>
    <w:rsid w:val="00B82C64"/>
    <w:rsid w:val="00B85E58"/>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4225"/>
    <w:rsid w:val="00E97172"/>
    <w:rsid w:val="00EB0AA0"/>
    <w:rsid w:val="00EB0F54"/>
    <w:rsid w:val="00EB674E"/>
    <w:rsid w:val="00EC4A7D"/>
    <w:rsid w:val="00ED5C37"/>
    <w:rsid w:val="00EE1050"/>
    <w:rsid w:val="00EE4D20"/>
    <w:rsid w:val="00EF05FA"/>
    <w:rsid w:val="00F056DA"/>
    <w:rsid w:val="00F20DF5"/>
    <w:rsid w:val="00F33493"/>
    <w:rsid w:val="00F52A8D"/>
    <w:rsid w:val="00F53F14"/>
    <w:rsid w:val="00F63130"/>
    <w:rsid w:val="00F6578A"/>
    <w:rsid w:val="00F70F5E"/>
    <w:rsid w:val="00F71EEE"/>
    <w:rsid w:val="00F83F5D"/>
    <w:rsid w:val="00F94AB8"/>
    <w:rsid w:val="00FA25BF"/>
    <w:rsid w:val="00FA4332"/>
    <w:rsid w:val="00FA7617"/>
    <w:rsid w:val="00FB0537"/>
    <w:rsid w:val="00FB5430"/>
    <w:rsid w:val="00FC4A25"/>
    <w:rsid w:val="00FE5212"/>
    <w:rsid w:val="00FF0E2D"/>
    <w:rsid w:val="01F114A6"/>
    <w:rsid w:val="021A4057"/>
    <w:rsid w:val="02C5CCB7"/>
    <w:rsid w:val="02CB0A0A"/>
    <w:rsid w:val="054A784B"/>
    <w:rsid w:val="057522D4"/>
    <w:rsid w:val="05D11680"/>
    <w:rsid w:val="06986394"/>
    <w:rsid w:val="070FF518"/>
    <w:rsid w:val="07493BB0"/>
    <w:rsid w:val="0774295E"/>
    <w:rsid w:val="08C97B89"/>
    <w:rsid w:val="09DC163D"/>
    <w:rsid w:val="0A636732"/>
    <w:rsid w:val="0A85669C"/>
    <w:rsid w:val="0AF53DB5"/>
    <w:rsid w:val="0B236729"/>
    <w:rsid w:val="0C373769"/>
    <w:rsid w:val="0CED2245"/>
    <w:rsid w:val="11B20A9E"/>
    <w:rsid w:val="14C57BD3"/>
    <w:rsid w:val="14DB226E"/>
    <w:rsid w:val="163C6D3C"/>
    <w:rsid w:val="164D0F49"/>
    <w:rsid w:val="174A2BA6"/>
    <w:rsid w:val="18331F83"/>
    <w:rsid w:val="192760B3"/>
    <w:rsid w:val="1A976858"/>
    <w:rsid w:val="1AAD0D98"/>
    <w:rsid w:val="1B5D3A44"/>
    <w:rsid w:val="1DAC0C4B"/>
    <w:rsid w:val="1DB3BDD9"/>
    <w:rsid w:val="1ED17600"/>
    <w:rsid w:val="1EEF4B70"/>
    <w:rsid w:val="1F2D6601"/>
    <w:rsid w:val="20B85440"/>
    <w:rsid w:val="20B95576"/>
    <w:rsid w:val="212C2C82"/>
    <w:rsid w:val="21590828"/>
    <w:rsid w:val="227B464E"/>
    <w:rsid w:val="22800727"/>
    <w:rsid w:val="22DE013F"/>
    <w:rsid w:val="231E4B10"/>
    <w:rsid w:val="23226CC1"/>
    <w:rsid w:val="23AE58BE"/>
    <w:rsid w:val="23BD70CF"/>
    <w:rsid w:val="23CB5BA3"/>
    <w:rsid w:val="251C4D2D"/>
    <w:rsid w:val="26DB7EAB"/>
    <w:rsid w:val="278F6BC6"/>
    <w:rsid w:val="28472F88"/>
    <w:rsid w:val="29491A44"/>
    <w:rsid w:val="29995DFC"/>
    <w:rsid w:val="2AD6748B"/>
    <w:rsid w:val="2BDB4B03"/>
    <w:rsid w:val="2C570682"/>
    <w:rsid w:val="2CB0732E"/>
    <w:rsid w:val="2CFA2B77"/>
    <w:rsid w:val="2F2919D0"/>
    <w:rsid w:val="2F537431"/>
    <w:rsid w:val="2FA01113"/>
    <w:rsid w:val="31B61C41"/>
    <w:rsid w:val="32987C10"/>
    <w:rsid w:val="32AA5AD0"/>
    <w:rsid w:val="33013899"/>
    <w:rsid w:val="331971C9"/>
    <w:rsid w:val="33454637"/>
    <w:rsid w:val="33FE167D"/>
    <w:rsid w:val="34785591"/>
    <w:rsid w:val="3652561A"/>
    <w:rsid w:val="36F34D9D"/>
    <w:rsid w:val="37164565"/>
    <w:rsid w:val="375A1547"/>
    <w:rsid w:val="37FF5F14"/>
    <w:rsid w:val="381E4C82"/>
    <w:rsid w:val="387C3B96"/>
    <w:rsid w:val="3933358B"/>
    <w:rsid w:val="39D23390"/>
    <w:rsid w:val="3A173499"/>
    <w:rsid w:val="3A9EFFCE"/>
    <w:rsid w:val="3BD6517D"/>
    <w:rsid w:val="3C431B90"/>
    <w:rsid w:val="3D1C55C2"/>
    <w:rsid w:val="3D955F84"/>
    <w:rsid w:val="3E5A7DF8"/>
    <w:rsid w:val="40F03729"/>
    <w:rsid w:val="41FE0D2A"/>
    <w:rsid w:val="42360234"/>
    <w:rsid w:val="4248149B"/>
    <w:rsid w:val="430D6BAF"/>
    <w:rsid w:val="43397FDC"/>
    <w:rsid w:val="434F2582"/>
    <w:rsid w:val="43E837B0"/>
    <w:rsid w:val="442944F4"/>
    <w:rsid w:val="443469F5"/>
    <w:rsid w:val="44606CD8"/>
    <w:rsid w:val="44CF695E"/>
    <w:rsid w:val="44D56131"/>
    <w:rsid w:val="46410FE7"/>
    <w:rsid w:val="46653894"/>
    <w:rsid w:val="46EF00CB"/>
    <w:rsid w:val="47242D51"/>
    <w:rsid w:val="473E165D"/>
    <w:rsid w:val="487D1F30"/>
    <w:rsid w:val="48E82276"/>
    <w:rsid w:val="4973551B"/>
    <w:rsid w:val="4A0A248B"/>
    <w:rsid w:val="4A144D30"/>
    <w:rsid w:val="4A165954"/>
    <w:rsid w:val="4A3F571D"/>
    <w:rsid w:val="4A4C2CEB"/>
    <w:rsid w:val="4B0E4C2E"/>
    <w:rsid w:val="4B3043BA"/>
    <w:rsid w:val="4B8F6B90"/>
    <w:rsid w:val="4C127068"/>
    <w:rsid w:val="4C26230B"/>
    <w:rsid w:val="4D4E6532"/>
    <w:rsid w:val="4E1F63F7"/>
    <w:rsid w:val="4E416104"/>
    <w:rsid w:val="4F980780"/>
    <w:rsid w:val="517FE114"/>
    <w:rsid w:val="51E02228"/>
    <w:rsid w:val="524530D8"/>
    <w:rsid w:val="52A042A5"/>
    <w:rsid w:val="531642B8"/>
    <w:rsid w:val="533633E9"/>
    <w:rsid w:val="551D6E2B"/>
    <w:rsid w:val="565847C5"/>
    <w:rsid w:val="569D6333"/>
    <w:rsid w:val="56A91F78"/>
    <w:rsid w:val="56EFD299"/>
    <w:rsid w:val="56F3FCF0"/>
    <w:rsid w:val="57607DD5"/>
    <w:rsid w:val="578764FF"/>
    <w:rsid w:val="57F16FC2"/>
    <w:rsid w:val="58195A00"/>
    <w:rsid w:val="58995EAE"/>
    <w:rsid w:val="59C0003E"/>
    <w:rsid w:val="5A1A070F"/>
    <w:rsid w:val="5A305377"/>
    <w:rsid w:val="5BFFB320"/>
    <w:rsid w:val="5C9342B5"/>
    <w:rsid w:val="5E0019CA"/>
    <w:rsid w:val="5EB545FA"/>
    <w:rsid w:val="5ECD28AE"/>
    <w:rsid w:val="5F627946"/>
    <w:rsid w:val="5F7C651F"/>
    <w:rsid w:val="62214511"/>
    <w:rsid w:val="62D6033B"/>
    <w:rsid w:val="62D91739"/>
    <w:rsid w:val="62E0081A"/>
    <w:rsid w:val="63F50BFD"/>
    <w:rsid w:val="64FD4BAB"/>
    <w:rsid w:val="6588162A"/>
    <w:rsid w:val="662479AC"/>
    <w:rsid w:val="669730E8"/>
    <w:rsid w:val="67145666"/>
    <w:rsid w:val="67460A40"/>
    <w:rsid w:val="676F7BC1"/>
    <w:rsid w:val="67DD55E5"/>
    <w:rsid w:val="6846773F"/>
    <w:rsid w:val="68B35298"/>
    <w:rsid w:val="68BB23A7"/>
    <w:rsid w:val="69472BA3"/>
    <w:rsid w:val="69B70FAB"/>
    <w:rsid w:val="6A7259FE"/>
    <w:rsid w:val="6B4E7991"/>
    <w:rsid w:val="6C787517"/>
    <w:rsid w:val="6EF95004"/>
    <w:rsid w:val="6F8A5598"/>
    <w:rsid w:val="6F8E4052"/>
    <w:rsid w:val="70D2369A"/>
    <w:rsid w:val="70F04D26"/>
    <w:rsid w:val="714B3800"/>
    <w:rsid w:val="71E82A49"/>
    <w:rsid w:val="72737714"/>
    <w:rsid w:val="72872F89"/>
    <w:rsid w:val="73BD5D86"/>
    <w:rsid w:val="769211D6"/>
    <w:rsid w:val="76C463FC"/>
    <w:rsid w:val="775546DD"/>
    <w:rsid w:val="777849C9"/>
    <w:rsid w:val="77CF7617"/>
    <w:rsid w:val="7B364826"/>
    <w:rsid w:val="7C217926"/>
    <w:rsid w:val="7CBFAA9E"/>
    <w:rsid w:val="7D7BAA82"/>
    <w:rsid w:val="7DB52E23"/>
    <w:rsid w:val="7E9EF690"/>
    <w:rsid w:val="7EBF2EFE"/>
    <w:rsid w:val="7EF25C3A"/>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 w:cs="Calibri"/>
      <w:kern w:val="2"/>
      <w:sz w:val="28"/>
      <w:szCs w:val="21"/>
      <w:lang w:val="en-US" w:eastAsia="zh-CN" w:bidi="ar-SA"/>
    </w:rPr>
  </w:style>
  <w:style w:type="paragraph" w:styleId="3">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4">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3"/>
    <w:unhideWhenUsed/>
    <w:qFormat/>
    <w:uiPriority w:val="99"/>
    <w:rPr>
      <w:rFonts w:eastAsia="宋体"/>
      <w:sz w:val="30"/>
      <w:szCs w:val="30"/>
    </w:rPr>
  </w:style>
  <w:style w:type="paragraph" w:styleId="5">
    <w:name w:val="Normal Indent"/>
    <w:basedOn w:val="1"/>
    <w:link w:val="37"/>
    <w:qFormat/>
    <w:uiPriority w:val="0"/>
    <w:pPr>
      <w:ind w:firstLine="420" w:firstLineChars="200"/>
    </w:pPr>
    <w:rPr>
      <w:rFonts w:ascii="Times New Roman" w:hAnsi="Times New Roman" w:eastAsia="宋体" w:cs="黑体"/>
      <w:sz w:val="21"/>
      <w:szCs w:val="24"/>
    </w:rPr>
  </w:style>
  <w:style w:type="paragraph" w:styleId="6">
    <w:name w:val="caption"/>
    <w:basedOn w:val="1"/>
    <w:next w:val="1"/>
    <w:qFormat/>
    <w:uiPriority w:val="35"/>
    <w:rPr>
      <w:rFonts w:ascii="等线 Light" w:hAnsi="等线 Light" w:eastAsia="黑体" w:cs="Times New Roman"/>
      <w:sz w:val="20"/>
      <w:szCs w:val="20"/>
    </w:rPr>
  </w:style>
  <w:style w:type="paragraph" w:styleId="7">
    <w:name w:val="annotation text"/>
    <w:basedOn w:val="1"/>
    <w:link w:val="32"/>
    <w:unhideWhenUsed/>
    <w:qFormat/>
    <w:uiPriority w:val="99"/>
    <w:pPr>
      <w:jc w:val="left"/>
    </w:p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7"/>
    <w:next w:val="7"/>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3"/>
    <w:qFormat/>
    <w:uiPriority w:val="0"/>
    <w:rPr>
      <w:rFonts w:ascii="Times New Roman" w:hAnsi="Times New Roman" w:eastAsia="黑体" w:cs="Times New Roman"/>
      <w:kern w:val="44"/>
      <w:sz w:val="20"/>
      <w:szCs w:val="20"/>
    </w:rPr>
  </w:style>
  <w:style w:type="character" w:customStyle="1" w:styleId="31">
    <w:name w:val="标题 2 字符"/>
    <w:basedOn w:val="16"/>
    <w:link w:val="4"/>
    <w:qFormat/>
    <w:uiPriority w:val="9"/>
    <w:rPr>
      <w:rFonts w:ascii="楷体" w:hAnsi="楷体" w:eastAsia="楷体" w:cs="Times New Roman"/>
      <w:sz w:val="28"/>
      <w:szCs w:val="28"/>
    </w:rPr>
  </w:style>
  <w:style w:type="character" w:customStyle="1" w:styleId="32">
    <w:name w:val="批注文字 字符"/>
    <w:link w:val="7"/>
    <w:qFormat/>
    <w:uiPriority w:val="99"/>
    <w:rPr>
      <w:rFonts w:ascii="Calibri" w:hAnsi="Calibri" w:eastAsia="仿宋" w:cs="Calibri"/>
      <w:sz w:val="28"/>
      <w:szCs w:val="21"/>
    </w:rPr>
  </w:style>
  <w:style w:type="character" w:customStyle="1" w:styleId="33">
    <w:name w:val="正文文本 字符"/>
    <w:link w:val="2"/>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5"/>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21</Pages>
  <Words>1619</Words>
  <Characters>1766</Characters>
  <Lines>23</Lines>
  <Paragraphs>6</Paragraphs>
  <TotalTime>8</TotalTime>
  <ScaleCrop>false</ScaleCrop>
  <LinksUpToDate>false</LinksUpToDate>
  <CharactersWithSpaces>2176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2024-06-14T10:19:00Z</dcterms:created>
  <dc:creator>qu yan</dc:creator>
  <cp:lastModifiedBy>瑿淳</cp:lastModifiedBy>
  <cp:lastPrinted>2025-02-26T09:24:00Z</cp:lastPrinted>
  <dcterms:modified xsi:type="dcterms:W3CDTF">2025-03-17T05:57:15Z</dcterms:modified>
  <dc:title>广东省产业集群工业互联数字化转型试点</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E5BAC32F96A642828D87430E443EECAC_13</vt:lpwstr>
  </property>
  <property fmtid="{D5CDD505-2E9C-101B-9397-08002B2CF9AE}" pid="4" name="KSOTemplateDocerSaveRecord">
    <vt:lpwstr>eyJoZGlkIjoiMzEwNTM5NzYwMDRjMzkwZTVkZjY2ODkwMGIxNGU0OTUiLCJ1c2VySWQiOiIzMjI0MTE4NjIifQ==</vt:lpwstr>
  </property>
</Properties>
</file>