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617E">
      <w:pPr>
        <w:widowControl/>
        <w:jc w:val="center"/>
        <w:rPr>
          <w:rFonts w:hint="eastAsia" w:ascii="仿宋_GB2312" w:hAnsi="仿宋_GB2312" w:eastAsia="仿宋_GB2312" w:cs="仿宋_GB2312"/>
          <w:spacing w:val="-6"/>
          <w:sz w:val="32"/>
          <w:szCs w:val="32"/>
        </w:rPr>
      </w:pPr>
      <w:r>
        <w:rPr>
          <w:rFonts w:hint="eastAsia" w:ascii="方正小标宋简体" w:hAnsi="方正小标宋简体" w:eastAsia="方正小标宋简体" w:cs="方正小标宋简体"/>
          <w:sz w:val="44"/>
          <w:szCs w:val="44"/>
        </w:rPr>
        <w:t>佛山市中小企业数字化转型城市试点、佛山市产业集群数字化转型项目数字化牵引单位产品清单</w:t>
      </w:r>
    </w:p>
    <w:p w14:paraId="564A8A8A">
      <w:pPr>
        <w:spacing w:line="560" w:lineRule="exact"/>
        <w:jc w:val="center"/>
        <w:rPr>
          <w:rFonts w:hint="eastAsia" w:ascii="仿宋_GB2312" w:hAnsi="仿宋_GB2312" w:eastAsia="仿宋_GB2312" w:cs="仿宋_GB2312"/>
          <w:bCs/>
          <w:sz w:val="32"/>
          <w:szCs w:val="32"/>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数字化牵引单位：佛山维尚家具制造有限公司</w:t>
      </w:r>
      <w:r>
        <w:rPr>
          <w:rFonts w:hint="eastAsia" w:ascii="方正小标宋简体" w:hAnsi="方正小标宋简体" w:eastAsia="方正小标宋简体" w:cs="方正小标宋简体"/>
          <w:sz w:val="44"/>
          <w:szCs w:val="44"/>
          <w:lang w:eastAsia="zh-CN"/>
        </w:rPr>
        <w:t>）</w:t>
      </w:r>
    </w:p>
    <w:p w14:paraId="2BBA19AF">
      <w:pPr>
        <w:spacing w:line="560" w:lineRule="exact"/>
        <w:rPr>
          <w:rFonts w:hint="eastAsia" w:ascii="仿宋_GB2312" w:hAnsi="仿宋_GB2312" w:eastAsia="仿宋_GB2312" w:cs="仿宋_GB2312"/>
          <w:bCs/>
          <w:sz w:val="32"/>
          <w:szCs w:val="32"/>
        </w:rPr>
      </w:pPr>
    </w:p>
    <w:p w14:paraId="0A2A624B">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联合体成员：中国联合网络通信有限公司佛山市分公司</w:t>
      </w:r>
    </w:p>
    <w:tbl>
      <w:tblPr>
        <w:tblStyle w:val="14"/>
        <w:tblW w:w="14555" w:type="dxa"/>
        <w:tblInd w:w="-509" w:type="dxa"/>
        <w:tblLayout w:type="autofit"/>
        <w:tblCellMar>
          <w:top w:w="0" w:type="dxa"/>
          <w:left w:w="108" w:type="dxa"/>
          <w:bottom w:w="0" w:type="dxa"/>
          <w:right w:w="108" w:type="dxa"/>
        </w:tblCellMar>
      </w:tblPr>
      <w:tblGrid>
        <w:gridCol w:w="705"/>
        <w:gridCol w:w="1350"/>
        <w:gridCol w:w="1230"/>
        <w:gridCol w:w="3645"/>
        <w:gridCol w:w="6060"/>
        <w:gridCol w:w="1565"/>
      </w:tblGrid>
      <w:tr w14:paraId="1B599CBF">
        <w:tblPrEx>
          <w:tblCellMar>
            <w:top w:w="0" w:type="dxa"/>
            <w:left w:w="108" w:type="dxa"/>
            <w:bottom w:w="0" w:type="dxa"/>
            <w:right w:w="108" w:type="dxa"/>
          </w:tblCellMar>
        </w:tblPrEx>
        <w:trPr>
          <w:trHeight w:val="601" w:hRule="atLeast"/>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64A0A08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350" w:type="dxa"/>
            <w:tcBorders>
              <w:top w:val="single" w:color="auto" w:sz="4" w:space="0"/>
              <w:left w:val="nil"/>
              <w:bottom w:val="single" w:color="auto" w:sz="4" w:space="0"/>
              <w:right w:val="single" w:color="auto" w:sz="4" w:space="0"/>
            </w:tcBorders>
            <w:shd w:val="clear" w:color="auto" w:fill="auto"/>
            <w:vAlign w:val="center"/>
          </w:tcPr>
          <w:p w14:paraId="10F3493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1230" w:type="dxa"/>
            <w:tcBorders>
              <w:top w:val="single" w:color="auto" w:sz="4" w:space="0"/>
              <w:left w:val="nil"/>
              <w:bottom w:val="single" w:color="auto" w:sz="4" w:space="0"/>
              <w:right w:val="single" w:color="auto" w:sz="4" w:space="0"/>
            </w:tcBorders>
            <w:shd w:val="clear" w:color="auto" w:fill="auto"/>
            <w:vAlign w:val="center"/>
          </w:tcPr>
          <w:p w14:paraId="7A50843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645" w:type="dxa"/>
            <w:tcBorders>
              <w:top w:val="single" w:color="auto" w:sz="4" w:space="0"/>
              <w:left w:val="nil"/>
              <w:bottom w:val="single" w:color="auto" w:sz="4" w:space="0"/>
              <w:right w:val="single" w:color="auto" w:sz="4" w:space="0"/>
            </w:tcBorders>
            <w:shd w:val="clear" w:color="auto" w:fill="auto"/>
            <w:vAlign w:val="center"/>
          </w:tcPr>
          <w:p w14:paraId="0B0053F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6060" w:type="dxa"/>
            <w:tcBorders>
              <w:top w:val="single" w:color="auto" w:sz="4" w:space="0"/>
              <w:left w:val="nil"/>
              <w:bottom w:val="single" w:color="auto" w:sz="4" w:space="0"/>
              <w:right w:val="single" w:color="auto" w:sz="4" w:space="0"/>
            </w:tcBorders>
            <w:shd w:val="clear" w:color="auto" w:fill="auto"/>
            <w:vAlign w:val="center"/>
          </w:tcPr>
          <w:p w14:paraId="5BA82B29">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565" w:type="dxa"/>
            <w:tcBorders>
              <w:top w:val="single" w:color="auto" w:sz="4" w:space="0"/>
              <w:left w:val="nil"/>
              <w:bottom w:val="single" w:color="auto" w:sz="4" w:space="0"/>
              <w:right w:val="single" w:color="auto" w:sz="4" w:space="0"/>
            </w:tcBorders>
            <w:shd w:val="clear" w:color="auto" w:fill="auto"/>
            <w:vAlign w:val="center"/>
          </w:tcPr>
          <w:p w14:paraId="236A8AF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0CD1EB65">
        <w:tblPrEx>
          <w:tblCellMar>
            <w:top w:w="0" w:type="dxa"/>
            <w:left w:w="108" w:type="dxa"/>
            <w:bottom w:w="0" w:type="dxa"/>
            <w:right w:w="108" w:type="dxa"/>
          </w:tblCellMar>
        </w:tblPrEx>
        <w:trPr>
          <w:trHeight w:val="601" w:hRule="atLeast"/>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5A4DCE5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350" w:type="dxa"/>
            <w:tcBorders>
              <w:top w:val="single" w:color="auto" w:sz="4" w:space="0"/>
              <w:left w:val="nil"/>
              <w:bottom w:val="single" w:color="auto" w:sz="4" w:space="0"/>
              <w:right w:val="single" w:color="auto" w:sz="4" w:space="0"/>
            </w:tcBorders>
            <w:shd w:val="clear" w:color="auto" w:fill="auto"/>
            <w:vAlign w:val="center"/>
          </w:tcPr>
          <w:p w14:paraId="1D6C8E8B">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智慧能源云平台</w:t>
            </w:r>
          </w:p>
        </w:tc>
        <w:tc>
          <w:tcPr>
            <w:tcW w:w="1230" w:type="dxa"/>
            <w:tcBorders>
              <w:top w:val="single" w:color="auto" w:sz="4" w:space="0"/>
              <w:left w:val="nil"/>
              <w:bottom w:val="single" w:color="auto" w:sz="4" w:space="0"/>
              <w:right w:val="single" w:color="auto" w:sz="4" w:space="0"/>
            </w:tcBorders>
            <w:shd w:val="clear" w:color="auto" w:fill="auto"/>
            <w:vAlign w:val="center"/>
          </w:tcPr>
          <w:p w14:paraId="52347356">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节能减排</w:t>
            </w:r>
          </w:p>
        </w:tc>
        <w:tc>
          <w:tcPr>
            <w:tcW w:w="3645" w:type="dxa"/>
            <w:tcBorders>
              <w:top w:val="single" w:color="auto" w:sz="4" w:space="0"/>
              <w:left w:val="nil"/>
              <w:bottom w:val="single" w:color="auto" w:sz="4" w:space="0"/>
              <w:right w:val="single" w:color="auto" w:sz="4" w:space="0"/>
            </w:tcBorders>
            <w:shd w:val="clear" w:color="auto" w:fill="auto"/>
            <w:vAlign w:val="center"/>
          </w:tcPr>
          <w:p w14:paraId="0025E3D0">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面向工业制造企业提供精细化能耗监测、动力设施设备智能控制、新能源在线监测、用能安全管控等数智化服务，帮助用户降低能源消费、提升能效、减少人工运维成本，辅助用户精细化能碳管理。</w:t>
            </w:r>
          </w:p>
        </w:tc>
        <w:tc>
          <w:tcPr>
            <w:tcW w:w="6060" w:type="dxa"/>
            <w:tcBorders>
              <w:top w:val="single" w:color="auto" w:sz="4" w:space="0"/>
              <w:left w:val="nil"/>
              <w:bottom w:val="single" w:color="auto" w:sz="4" w:space="0"/>
              <w:right w:val="single" w:color="auto" w:sz="4" w:space="0"/>
            </w:tcBorders>
            <w:shd w:val="clear" w:color="auto" w:fill="auto"/>
            <w:vAlign w:val="center"/>
          </w:tcPr>
          <w:p w14:paraId="0DD94BA7">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lang w:eastAsia="zh-CN"/>
              </w:rPr>
            </w:pPr>
            <w:r>
              <w:rPr>
                <w:rFonts w:hint="eastAsia" w:ascii="仿宋_GB2312" w:hAnsi="仿宋_GB2312" w:eastAsia="仿宋_GB2312" w:cs="仿宋_GB2312"/>
                <w:b w:val="0"/>
                <w:bCs w:val="0"/>
                <w:color w:val="auto"/>
                <w:kern w:val="0"/>
                <w:sz w:val="24"/>
                <w:szCs w:val="24"/>
              </w:rPr>
              <w:t>10</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-300</w:t>
            </w:r>
            <w:r>
              <w:rPr>
                <w:rFonts w:hint="eastAsia" w:ascii="仿宋_GB2312" w:hAnsi="仿宋_GB2312" w:eastAsia="仿宋_GB2312" w:cs="仿宋_GB2312"/>
                <w:b w:val="0"/>
                <w:bCs w:val="0"/>
                <w:color w:val="auto"/>
                <w:kern w:val="0"/>
                <w:sz w:val="24"/>
                <w:szCs w:val="24"/>
                <w:lang w:eastAsia="zh-CN"/>
              </w:rPr>
              <w:t>万元</w:t>
            </w:r>
          </w:p>
          <w:p w14:paraId="52020CB3">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平台建设费用、云资源服务费用根据实际项目需求收取，各模块基础报价如下：</w:t>
            </w:r>
          </w:p>
          <w:p w14:paraId="750869E0">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1.能耗监测模块：800</w:t>
            </w:r>
            <w:r>
              <w:rPr>
                <w:rFonts w:hint="eastAsia" w:ascii="仿宋_GB2312" w:hAnsi="仿宋_GB2312" w:eastAsia="仿宋_GB2312" w:cs="仿宋_GB2312"/>
                <w:b w:val="0"/>
                <w:bCs w:val="0"/>
                <w:color w:val="auto"/>
                <w:kern w:val="0"/>
                <w:sz w:val="24"/>
                <w:szCs w:val="24"/>
                <w:lang w:val="en-US" w:eastAsia="zh-CN"/>
              </w:rPr>
              <w:t>元</w:t>
            </w:r>
            <w:r>
              <w:rPr>
                <w:rFonts w:hint="eastAsia" w:ascii="仿宋_GB2312" w:hAnsi="仿宋_GB2312" w:eastAsia="仿宋_GB2312" w:cs="仿宋_GB2312"/>
                <w:b w:val="0"/>
                <w:bCs w:val="0"/>
                <w:color w:val="auto"/>
                <w:kern w:val="0"/>
                <w:sz w:val="24"/>
                <w:szCs w:val="24"/>
              </w:rPr>
              <w:t>-5000元/点位</w:t>
            </w:r>
          </w:p>
          <w:p w14:paraId="2138654E">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2.空压智控模块：4</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-6</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/台边缘智控服务器</w:t>
            </w:r>
          </w:p>
          <w:p w14:paraId="13F5C28F">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3.水智控模块：3</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-6.5</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/台云边智控一体机</w:t>
            </w:r>
          </w:p>
          <w:p w14:paraId="533B2A41">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4.空调智控模块：5.6</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-12</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/监测控制平台</w:t>
            </w:r>
          </w:p>
          <w:p w14:paraId="501BDC62">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5.定型机管理模块：10</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-12</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/定型机智控平台及工控系统</w:t>
            </w:r>
          </w:p>
          <w:p w14:paraId="6804E283">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6.光储充智慧监测：按需</w:t>
            </w:r>
          </w:p>
          <w:p w14:paraId="5EF3BD8F">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7.排放监测模块：5</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-12</w:t>
            </w:r>
            <w:r>
              <w:rPr>
                <w:rFonts w:hint="eastAsia" w:ascii="仿宋_GB2312" w:hAnsi="仿宋_GB2312" w:eastAsia="仿宋_GB2312" w:cs="仿宋_GB2312"/>
                <w:b w:val="0"/>
                <w:bCs w:val="0"/>
                <w:color w:val="auto"/>
                <w:kern w:val="0"/>
                <w:sz w:val="24"/>
                <w:szCs w:val="24"/>
                <w:lang w:eastAsia="zh-CN"/>
              </w:rPr>
              <w:t>万元</w:t>
            </w:r>
            <w:r>
              <w:rPr>
                <w:rFonts w:hint="eastAsia" w:ascii="仿宋_GB2312" w:hAnsi="仿宋_GB2312" w:eastAsia="仿宋_GB2312" w:cs="仿宋_GB2312"/>
                <w:b w:val="0"/>
                <w:bCs w:val="0"/>
                <w:color w:val="auto"/>
                <w:kern w:val="0"/>
                <w:sz w:val="24"/>
                <w:szCs w:val="24"/>
              </w:rPr>
              <w:t>/监测平台</w:t>
            </w:r>
          </w:p>
          <w:p w14:paraId="55ABAADC">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8.安心宝:300</w:t>
            </w:r>
            <w:r>
              <w:rPr>
                <w:rFonts w:hint="eastAsia" w:ascii="仿宋_GB2312" w:hAnsi="仿宋_GB2312" w:eastAsia="仿宋_GB2312" w:cs="仿宋_GB2312"/>
                <w:b w:val="0"/>
                <w:bCs w:val="0"/>
                <w:color w:val="auto"/>
                <w:kern w:val="0"/>
                <w:sz w:val="24"/>
                <w:szCs w:val="24"/>
                <w:lang w:val="en-US" w:eastAsia="zh-CN"/>
              </w:rPr>
              <w:t>元</w:t>
            </w:r>
            <w:r>
              <w:rPr>
                <w:rFonts w:hint="eastAsia" w:ascii="仿宋_GB2312" w:hAnsi="仿宋_GB2312" w:eastAsia="仿宋_GB2312" w:cs="仿宋_GB2312"/>
                <w:b w:val="0"/>
                <w:bCs w:val="0"/>
                <w:color w:val="auto"/>
                <w:kern w:val="0"/>
                <w:sz w:val="24"/>
                <w:szCs w:val="24"/>
              </w:rPr>
              <w:t>-5000元/点位</w:t>
            </w:r>
          </w:p>
        </w:tc>
        <w:tc>
          <w:tcPr>
            <w:tcW w:w="1565" w:type="dxa"/>
            <w:tcBorders>
              <w:top w:val="single" w:color="auto" w:sz="4" w:space="0"/>
              <w:left w:val="nil"/>
              <w:bottom w:val="single" w:color="auto" w:sz="4" w:space="0"/>
              <w:right w:val="single" w:color="auto" w:sz="4" w:space="0"/>
            </w:tcBorders>
            <w:shd w:val="clear" w:color="auto" w:fill="auto"/>
            <w:vAlign w:val="center"/>
          </w:tcPr>
          <w:p w14:paraId="2CDB4956">
            <w:pPr>
              <w:jc w:val="center"/>
              <w:rPr>
                <w:rFonts w:hint="eastAsia" w:ascii="仿宋_GB2312" w:hAnsi="仿宋_GB2312" w:eastAsia="仿宋_GB2312" w:cs="仿宋_GB2312"/>
                <w:b w:val="0"/>
                <w:bCs w:val="0"/>
                <w:color w:val="auto"/>
                <w:kern w:val="0"/>
                <w:sz w:val="24"/>
                <w:szCs w:val="24"/>
              </w:rPr>
            </w:pPr>
          </w:p>
        </w:tc>
      </w:tr>
      <w:tr w14:paraId="170B789F">
        <w:tblPrEx>
          <w:tblCellMar>
            <w:top w:w="0" w:type="dxa"/>
            <w:left w:w="108" w:type="dxa"/>
            <w:bottom w:w="0" w:type="dxa"/>
            <w:right w:w="108" w:type="dxa"/>
          </w:tblCellMar>
        </w:tblPrEx>
        <w:trPr>
          <w:trHeight w:val="601" w:hRule="atLeast"/>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6D16AC2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350" w:type="dxa"/>
            <w:tcBorders>
              <w:top w:val="single" w:color="auto" w:sz="4" w:space="0"/>
              <w:left w:val="nil"/>
              <w:bottom w:val="single" w:color="auto" w:sz="4" w:space="0"/>
              <w:right w:val="single" w:color="auto" w:sz="4" w:space="0"/>
            </w:tcBorders>
            <w:shd w:val="clear" w:color="auto" w:fill="auto"/>
            <w:vAlign w:val="center"/>
          </w:tcPr>
          <w:p w14:paraId="2AA83CE9">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天穹多云管理平台</w:t>
            </w:r>
          </w:p>
        </w:tc>
        <w:tc>
          <w:tcPr>
            <w:tcW w:w="1230" w:type="dxa"/>
            <w:tcBorders>
              <w:top w:val="single" w:color="auto" w:sz="4" w:space="0"/>
              <w:left w:val="nil"/>
              <w:bottom w:val="single" w:color="auto" w:sz="4" w:space="0"/>
              <w:right w:val="single" w:color="auto" w:sz="4" w:space="0"/>
            </w:tcBorders>
            <w:shd w:val="clear" w:color="auto" w:fill="auto"/>
            <w:vAlign w:val="center"/>
          </w:tcPr>
          <w:p w14:paraId="671AC52F">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经营管理、运维服务</w:t>
            </w:r>
          </w:p>
        </w:tc>
        <w:tc>
          <w:tcPr>
            <w:tcW w:w="3645" w:type="dxa"/>
            <w:tcBorders>
              <w:top w:val="single" w:color="auto" w:sz="4" w:space="0"/>
              <w:left w:val="nil"/>
              <w:bottom w:val="single" w:color="auto" w:sz="4" w:space="0"/>
              <w:right w:val="single" w:color="auto" w:sz="4" w:space="0"/>
            </w:tcBorders>
            <w:shd w:val="clear" w:color="auto" w:fill="auto"/>
            <w:vAlign w:val="center"/>
          </w:tcPr>
          <w:p w14:paraId="52D5D7DE">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向混合云客户及有成本管控、运营需求的工业客户提供云资源服务；应对有数据备份需求，对安全性要求高，业务不能中断的客户，通过沃云备，提供备份容灾服务。</w:t>
            </w:r>
          </w:p>
        </w:tc>
        <w:tc>
          <w:tcPr>
            <w:tcW w:w="6060" w:type="dxa"/>
            <w:tcBorders>
              <w:top w:val="single" w:color="auto" w:sz="4" w:space="0"/>
              <w:left w:val="nil"/>
              <w:bottom w:val="single" w:color="auto" w:sz="4" w:space="0"/>
              <w:right w:val="single" w:color="auto" w:sz="4" w:space="0"/>
            </w:tcBorders>
            <w:shd w:val="clear" w:color="auto" w:fill="auto"/>
            <w:vAlign w:val="center"/>
          </w:tcPr>
          <w:p w14:paraId="41424F6E">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10万元-200万元</w:t>
            </w:r>
          </w:p>
          <w:p w14:paraId="1CE3093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1.基础多云管理服务模块：10万元（可纳管13个国内外主流云商，包括阿里、华为、腾讯、微软、紫光等）</w:t>
            </w:r>
          </w:p>
          <w:p w14:paraId="455090F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2.数据备份与系统容灾服务模块：</w:t>
            </w:r>
          </w:p>
          <w:p w14:paraId="4D2FF0BE">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（1）云端备份</w:t>
            </w:r>
          </w:p>
          <w:p w14:paraId="2EAF0C4B">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纯saas：300元/T/月</w:t>
            </w:r>
          </w:p>
          <w:p w14:paraId="4E68BD1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Iaas+Saas：600元/T/月</w:t>
            </w:r>
          </w:p>
          <w:p w14:paraId="1D41FB1F">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（2）带本地前置机的云端备份</w:t>
            </w:r>
          </w:p>
          <w:p w14:paraId="3B9375F6">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纯saas：600元/T/月</w:t>
            </w:r>
          </w:p>
          <w:p w14:paraId="44328A15">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Iaas+Saas：900元/T/月</w:t>
            </w:r>
          </w:p>
        </w:tc>
        <w:tc>
          <w:tcPr>
            <w:tcW w:w="1565" w:type="dxa"/>
            <w:tcBorders>
              <w:top w:val="single" w:color="auto" w:sz="4" w:space="0"/>
              <w:left w:val="nil"/>
              <w:bottom w:val="single" w:color="auto" w:sz="4" w:space="0"/>
              <w:right w:val="single" w:color="auto" w:sz="4" w:space="0"/>
            </w:tcBorders>
            <w:shd w:val="clear" w:color="auto" w:fill="auto"/>
            <w:vAlign w:val="center"/>
          </w:tcPr>
          <w:p w14:paraId="7BE0B226">
            <w:pPr>
              <w:jc w:val="center"/>
              <w:rPr>
                <w:rFonts w:hint="eastAsia" w:ascii="仿宋_GB2312" w:hAnsi="仿宋_GB2312" w:eastAsia="仿宋_GB2312" w:cs="仿宋_GB2312"/>
                <w:b w:val="0"/>
                <w:bCs w:val="0"/>
                <w:color w:val="auto"/>
                <w:kern w:val="0"/>
                <w:sz w:val="24"/>
                <w:szCs w:val="24"/>
              </w:rPr>
            </w:pPr>
          </w:p>
        </w:tc>
      </w:tr>
      <w:tr w14:paraId="4C40F381">
        <w:tblPrEx>
          <w:tblCellMar>
            <w:top w:w="0" w:type="dxa"/>
            <w:left w:w="108" w:type="dxa"/>
            <w:bottom w:w="0" w:type="dxa"/>
            <w:right w:w="108" w:type="dxa"/>
          </w:tblCellMar>
        </w:tblPrEx>
        <w:trPr>
          <w:trHeight w:val="601" w:hRule="atLeast"/>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75FB18E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350" w:type="dxa"/>
            <w:tcBorders>
              <w:top w:val="single" w:color="auto" w:sz="4" w:space="0"/>
              <w:left w:val="nil"/>
              <w:bottom w:val="single" w:color="auto" w:sz="4" w:space="0"/>
              <w:right w:val="single" w:color="auto" w:sz="4" w:space="0"/>
            </w:tcBorders>
            <w:shd w:val="clear" w:color="auto" w:fill="auto"/>
            <w:vAlign w:val="center"/>
          </w:tcPr>
          <w:p w14:paraId="0CC52A78">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DPAAS数据中台</w:t>
            </w:r>
          </w:p>
        </w:tc>
        <w:tc>
          <w:tcPr>
            <w:tcW w:w="1230" w:type="dxa"/>
            <w:tcBorders>
              <w:top w:val="single" w:color="auto" w:sz="4" w:space="0"/>
              <w:left w:val="nil"/>
              <w:bottom w:val="single" w:color="auto" w:sz="4" w:space="0"/>
              <w:right w:val="single" w:color="auto" w:sz="4" w:space="0"/>
            </w:tcBorders>
            <w:shd w:val="clear" w:color="auto" w:fill="auto"/>
            <w:vAlign w:val="center"/>
          </w:tcPr>
          <w:p w14:paraId="2D0C6BEA">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经营管理</w:t>
            </w:r>
          </w:p>
        </w:tc>
        <w:tc>
          <w:tcPr>
            <w:tcW w:w="3645" w:type="dxa"/>
            <w:tcBorders>
              <w:top w:val="single" w:color="auto" w:sz="4" w:space="0"/>
              <w:left w:val="nil"/>
              <w:bottom w:val="single" w:color="auto" w:sz="4" w:space="0"/>
              <w:right w:val="single" w:color="auto" w:sz="4" w:space="0"/>
            </w:tcBorders>
            <w:shd w:val="clear" w:color="auto" w:fill="auto"/>
            <w:vAlign w:val="center"/>
          </w:tcPr>
          <w:p w14:paraId="202F4C54">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面向工业企业客户，提供数据中台底座及可视化报表/BI、数据总线、数字孪生、数据仓库/数据湖/数据资产、产品全生命周期追溯等标准功能模块或定制化功能，帮助企业打通研发设计、生产制造、销售与服务等全价值链协同。</w:t>
            </w:r>
          </w:p>
        </w:tc>
        <w:tc>
          <w:tcPr>
            <w:tcW w:w="6060" w:type="dxa"/>
            <w:tcBorders>
              <w:top w:val="single" w:color="auto" w:sz="4" w:space="0"/>
              <w:left w:val="nil"/>
              <w:bottom w:val="single" w:color="auto" w:sz="4" w:space="0"/>
              <w:right w:val="single" w:color="auto" w:sz="4" w:space="0"/>
            </w:tcBorders>
            <w:shd w:val="clear" w:color="auto" w:fill="auto"/>
            <w:vAlign w:val="center"/>
          </w:tcPr>
          <w:p w14:paraId="30B5A673">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10万元-300万元</w:t>
            </w:r>
          </w:p>
          <w:p w14:paraId="1674D23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1.大数据平台底座：20万元/套</w:t>
            </w:r>
          </w:p>
          <w:p w14:paraId="31BE77BD">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2.后台管理：10万元/套</w:t>
            </w:r>
          </w:p>
          <w:p w14:paraId="52323D8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3.BI报表平台：基本版10万元/套，标准版20万元/套，旗舰版54万元/套</w:t>
            </w:r>
          </w:p>
          <w:p w14:paraId="766AF82A">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4.数据服务：基本版8万元/套，标准版16万元/套，旗舰版24万元/套</w:t>
            </w:r>
          </w:p>
          <w:p w14:paraId="4836DE6B">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5.其他功能、定制化需求、施工费用按需定制，3000元-4000元/人天。</w:t>
            </w:r>
          </w:p>
        </w:tc>
        <w:tc>
          <w:tcPr>
            <w:tcW w:w="1565" w:type="dxa"/>
            <w:tcBorders>
              <w:top w:val="single" w:color="auto" w:sz="4" w:space="0"/>
              <w:left w:val="nil"/>
              <w:bottom w:val="single" w:color="auto" w:sz="4" w:space="0"/>
              <w:right w:val="single" w:color="auto" w:sz="4" w:space="0"/>
            </w:tcBorders>
            <w:shd w:val="clear" w:color="auto" w:fill="auto"/>
            <w:vAlign w:val="center"/>
          </w:tcPr>
          <w:p w14:paraId="3DDF2CAA">
            <w:pPr>
              <w:jc w:val="center"/>
              <w:rPr>
                <w:rFonts w:hint="eastAsia" w:ascii="仿宋_GB2312" w:hAnsi="仿宋_GB2312" w:eastAsia="仿宋_GB2312" w:cs="仿宋_GB2312"/>
                <w:b w:val="0"/>
                <w:bCs w:val="0"/>
                <w:color w:val="auto"/>
                <w:kern w:val="0"/>
                <w:sz w:val="24"/>
                <w:szCs w:val="24"/>
              </w:rPr>
            </w:pPr>
          </w:p>
        </w:tc>
      </w:tr>
      <w:tr w14:paraId="23EA1F5E">
        <w:tblPrEx>
          <w:tblCellMar>
            <w:top w:w="0" w:type="dxa"/>
            <w:left w:w="108" w:type="dxa"/>
            <w:bottom w:w="0" w:type="dxa"/>
            <w:right w:w="108" w:type="dxa"/>
          </w:tblCellMar>
        </w:tblPrEx>
        <w:trPr>
          <w:trHeight w:val="601" w:hRule="atLeast"/>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6F47D6A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350" w:type="dxa"/>
            <w:tcBorders>
              <w:top w:val="single" w:color="auto" w:sz="4" w:space="0"/>
              <w:left w:val="nil"/>
              <w:bottom w:val="single" w:color="auto" w:sz="4" w:space="0"/>
              <w:right w:val="single" w:color="auto" w:sz="4" w:space="0"/>
            </w:tcBorders>
            <w:shd w:val="clear" w:color="auto" w:fill="auto"/>
            <w:vAlign w:val="center"/>
          </w:tcPr>
          <w:p w14:paraId="4BF84FB1">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智造云</w:t>
            </w:r>
          </w:p>
        </w:tc>
        <w:tc>
          <w:tcPr>
            <w:tcW w:w="1230" w:type="dxa"/>
            <w:tcBorders>
              <w:top w:val="single" w:color="auto" w:sz="4" w:space="0"/>
              <w:left w:val="nil"/>
              <w:bottom w:val="single" w:color="auto" w:sz="4" w:space="0"/>
              <w:right w:val="single" w:color="auto" w:sz="4" w:space="0"/>
            </w:tcBorders>
            <w:shd w:val="clear" w:color="auto" w:fill="auto"/>
            <w:vAlign w:val="center"/>
          </w:tcPr>
          <w:p w14:paraId="31E19BBB">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生产制造</w:t>
            </w:r>
          </w:p>
        </w:tc>
        <w:tc>
          <w:tcPr>
            <w:tcW w:w="3645" w:type="dxa"/>
            <w:tcBorders>
              <w:top w:val="single" w:color="auto" w:sz="4" w:space="0"/>
              <w:left w:val="nil"/>
              <w:bottom w:val="single" w:color="auto" w:sz="4" w:space="0"/>
              <w:right w:val="single" w:color="auto" w:sz="4" w:space="0"/>
            </w:tcBorders>
            <w:shd w:val="clear" w:color="auto" w:fill="auto"/>
            <w:vAlign w:val="center"/>
          </w:tcPr>
          <w:p w14:paraId="6748BC2A">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智造云平台，聚焦产业集群内工业制造中小企业数字化转型升级共性需求。以智造云平台为核心，构建联通工业互联网SaaS应用合作生态圈，为企业提供SaaS应用产品，将各系统生产数据数据和业务横向打通；以云+大连接为基础，赋能制造企业，实现客户生产流、数据流、业务流的汇聚价值，助力企业向智能化转型，为企业上云提供一体化解决方案。</w:t>
            </w:r>
          </w:p>
        </w:tc>
        <w:tc>
          <w:tcPr>
            <w:tcW w:w="6060" w:type="dxa"/>
            <w:tcBorders>
              <w:top w:val="single" w:color="auto" w:sz="4" w:space="0"/>
              <w:left w:val="nil"/>
              <w:bottom w:val="single" w:color="auto" w:sz="4" w:space="0"/>
              <w:right w:val="single" w:color="auto" w:sz="4" w:space="0"/>
            </w:tcBorders>
            <w:shd w:val="clear" w:color="auto" w:fill="auto"/>
            <w:vAlign w:val="center"/>
          </w:tcPr>
          <w:p w14:paraId="175A4CE2">
            <w:pPr>
              <w:keepNext w:val="0"/>
              <w:keepLines w:val="0"/>
              <w:pageBreakBefore w:val="0"/>
              <w:widowControl w:val="0"/>
              <w:kinsoku/>
              <w:wordWrap/>
              <w:overflowPunct/>
              <w:topLinePunct w:val="0"/>
              <w:autoSpaceDE/>
              <w:autoSpaceDN/>
              <w:bidi w:val="0"/>
              <w:adjustRightInd/>
              <w:snapToGrid/>
              <w:spacing w:line="307" w:lineRule="exact"/>
              <w:textAlignment w:val="auto"/>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100万元-200万元，具体结合云化部署或私有化部署，同时核算实施人天进行计算，2000元/人天。</w:t>
            </w:r>
          </w:p>
        </w:tc>
        <w:tc>
          <w:tcPr>
            <w:tcW w:w="1565" w:type="dxa"/>
            <w:tcBorders>
              <w:top w:val="single" w:color="auto" w:sz="4" w:space="0"/>
              <w:left w:val="nil"/>
              <w:bottom w:val="single" w:color="auto" w:sz="4" w:space="0"/>
              <w:right w:val="single" w:color="auto" w:sz="4" w:space="0"/>
            </w:tcBorders>
            <w:shd w:val="clear" w:color="auto" w:fill="auto"/>
            <w:vAlign w:val="center"/>
          </w:tcPr>
          <w:p w14:paraId="22251B8C">
            <w:pPr>
              <w:jc w:val="center"/>
              <w:rPr>
                <w:rFonts w:hint="eastAsia" w:ascii="仿宋_GB2312" w:hAnsi="仿宋_GB2312" w:eastAsia="仿宋_GB2312" w:cs="仿宋_GB2312"/>
                <w:b w:val="0"/>
                <w:bCs w:val="0"/>
                <w:color w:val="auto"/>
                <w:kern w:val="0"/>
                <w:sz w:val="24"/>
                <w:szCs w:val="24"/>
              </w:rPr>
            </w:pPr>
          </w:p>
        </w:tc>
      </w:tr>
      <w:tr w14:paraId="6B9AF277">
        <w:tblPrEx>
          <w:tblCellMar>
            <w:top w:w="0" w:type="dxa"/>
            <w:left w:w="108" w:type="dxa"/>
            <w:bottom w:w="0" w:type="dxa"/>
            <w:right w:w="108" w:type="dxa"/>
          </w:tblCellMar>
        </w:tblPrEx>
        <w:trPr>
          <w:trHeight w:val="601" w:hRule="atLeast"/>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647502F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350" w:type="dxa"/>
            <w:tcBorders>
              <w:top w:val="single" w:color="auto" w:sz="4" w:space="0"/>
              <w:left w:val="nil"/>
              <w:bottom w:val="single" w:color="auto" w:sz="4" w:space="0"/>
              <w:right w:val="single" w:color="auto" w:sz="4" w:space="0"/>
            </w:tcBorders>
            <w:shd w:val="clear" w:color="auto" w:fill="auto"/>
            <w:vAlign w:val="center"/>
          </w:tcPr>
          <w:p w14:paraId="3B40398D">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5G+AI</w:t>
            </w:r>
          </w:p>
        </w:tc>
        <w:tc>
          <w:tcPr>
            <w:tcW w:w="1230" w:type="dxa"/>
            <w:tcBorders>
              <w:top w:val="single" w:color="auto" w:sz="4" w:space="0"/>
              <w:left w:val="nil"/>
              <w:bottom w:val="single" w:color="auto" w:sz="4" w:space="0"/>
              <w:right w:val="single" w:color="auto" w:sz="4" w:space="0"/>
            </w:tcBorders>
            <w:shd w:val="clear" w:color="auto" w:fill="auto"/>
            <w:vAlign w:val="center"/>
          </w:tcPr>
          <w:p w14:paraId="06638F23">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生产制造</w:t>
            </w:r>
          </w:p>
        </w:tc>
        <w:tc>
          <w:tcPr>
            <w:tcW w:w="3645" w:type="dxa"/>
            <w:tcBorders>
              <w:top w:val="single" w:color="auto" w:sz="4" w:space="0"/>
              <w:left w:val="nil"/>
              <w:bottom w:val="single" w:color="auto" w:sz="4" w:space="0"/>
              <w:right w:val="single" w:color="auto" w:sz="4" w:space="0"/>
            </w:tcBorders>
            <w:shd w:val="clear" w:color="auto" w:fill="auto"/>
            <w:vAlign w:val="center"/>
          </w:tcPr>
          <w:p w14:paraId="6CCBCB8C">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AI合规：面向工业制造各类工厂，包括车间、厂房、厂区、办公区，深度嵌入人机料法环全面质量管理各环节，提供依客户需求定制的实时监测预警和事后调阅取证的整体解决方案。</w:t>
            </w:r>
          </w:p>
          <w:p w14:paraId="3D5F22FA">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AI质检：面向能源、钢铁、机械、电子、化工等各类工业/制造业企业，提供对固体/液体/软体等物体的精度测量、缺陷检测，支持统计、预警、追溯等功能，可向客户提供数据标注、算法训练等工具，支持与客户已有系统对接（如MES/ERP等系统），大幅提高检测效率精度，降低对质检人员的依赖性。</w:t>
            </w:r>
          </w:p>
        </w:tc>
        <w:tc>
          <w:tcPr>
            <w:tcW w:w="6060" w:type="dxa"/>
            <w:tcBorders>
              <w:top w:val="single" w:color="auto" w:sz="4" w:space="0"/>
              <w:left w:val="nil"/>
              <w:bottom w:val="single" w:color="auto" w:sz="4" w:space="0"/>
              <w:right w:val="single" w:color="auto" w:sz="4" w:space="0"/>
            </w:tcBorders>
            <w:shd w:val="clear" w:color="auto" w:fill="auto"/>
            <w:vAlign w:val="center"/>
          </w:tcPr>
          <w:p w14:paraId="1A6A49E5">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30万元-100万元</w:t>
            </w:r>
          </w:p>
          <w:p w14:paraId="39C37BFB">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AI合规：</w:t>
            </w:r>
          </w:p>
          <w:p w14:paraId="115D8FD8">
            <w:pPr>
              <w:keepNext w:val="0"/>
              <w:keepLines w:val="0"/>
              <w:pageBreakBefore w:val="0"/>
              <w:widowControl w:val="0"/>
              <w:numPr>
                <w:ilvl w:val="0"/>
                <w:numId w:val="2"/>
              </w:numPr>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基础软件平台20万元（视频解码/算法调度/告警通知/系统对接）</w:t>
            </w:r>
          </w:p>
          <w:p w14:paraId="155F7D3C">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2.视频接入授权（9类标准化场景功能）500元-2000元/路/算法</w:t>
            </w:r>
          </w:p>
          <w:p w14:paraId="58CE935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AI质检：</w:t>
            </w:r>
          </w:p>
          <w:p w14:paraId="7AA53407">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1、基础软件费用25万元-30万元 根据现场替代人工数量与生产效率之间的正比关系，按替代人工数量核算成本</w:t>
            </w:r>
          </w:p>
        </w:tc>
        <w:tc>
          <w:tcPr>
            <w:tcW w:w="1565" w:type="dxa"/>
            <w:tcBorders>
              <w:top w:val="single" w:color="auto" w:sz="4" w:space="0"/>
              <w:left w:val="nil"/>
              <w:bottom w:val="single" w:color="auto" w:sz="4" w:space="0"/>
              <w:right w:val="single" w:color="auto" w:sz="4" w:space="0"/>
            </w:tcBorders>
            <w:shd w:val="clear" w:color="auto" w:fill="auto"/>
            <w:vAlign w:val="center"/>
          </w:tcPr>
          <w:p w14:paraId="3C5ACB82">
            <w:pPr>
              <w:jc w:val="center"/>
              <w:rPr>
                <w:rFonts w:hint="eastAsia" w:ascii="仿宋_GB2312" w:hAnsi="仿宋_GB2312" w:eastAsia="仿宋_GB2312" w:cs="仿宋_GB2312"/>
                <w:b w:val="0"/>
                <w:bCs w:val="0"/>
                <w:color w:val="auto"/>
                <w:kern w:val="0"/>
                <w:sz w:val="24"/>
                <w:szCs w:val="24"/>
              </w:rPr>
            </w:pPr>
          </w:p>
        </w:tc>
      </w:tr>
      <w:tr w14:paraId="36F99D28">
        <w:tblPrEx>
          <w:tblCellMar>
            <w:top w:w="0" w:type="dxa"/>
            <w:left w:w="108" w:type="dxa"/>
            <w:bottom w:w="0" w:type="dxa"/>
            <w:right w:w="108" w:type="dxa"/>
          </w:tblCellMar>
        </w:tblPrEx>
        <w:trPr>
          <w:trHeight w:val="601" w:hRule="atLeast"/>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4C811932">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350" w:type="dxa"/>
            <w:tcBorders>
              <w:top w:val="single" w:color="auto" w:sz="4" w:space="0"/>
              <w:left w:val="nil"/>
              <w:bottom w:val="single" w:color="auto" w:sz="4" w:space="0"/>
              <w:right w:val="single" w:color="auto" w:sz="4" w:space="0"/>
            </w:tcBorders>
            <w:shd w:val="clear" w:color="auto" w:fill="auto"/>
            <w:vAlign w:val="center"/>
          </w:tcPr>
          <w:p w14:paraId="0FDD8FB1">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装备云</w:t>
            </w:r>
          </w:p>
        </w:tc>
        <w:tc>
          <w:tcPr>
            <w:tcW w:w="1230" w:type="dxa"/>
            <w:tcBorders>
              <w:top w:val="single" w:color="auto" w:sz="4" w:space="0"/>
              <w:left w:val="nil"/>
              <w:bottom w:val="single" w:color="auto" w:sz="4" w:space="0"/>
              <w:right w:val="single" w:color="auto" w:sz="4" w:space="0"/>
            </w:tcBorders>
            <w:shd w:val="clear" w:color="auto" w:fill="auto"/>
            <w:vAlign w:val="center"/>
          </w:tcPr>
          <w:p w14:paraId="7DCB2E66">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生产制造</w:t>
            </w:r>
          </w:p>
        </w:tc>
        <w:tc>
          <w:tcPr>
            <w:tcW w:w="3645" w:type="dxa"/>
            <w:tcBorders>
              <w:top w:val="single" w:color="auto" w:sz="4" w:space="0"/>
              <w:left w:val="nil"/>
              <w:bottom w:val="single" w:color="auto" w:sz="4" w:space="0"/>
              <w:right w:val="single" w:color="auto" w:sz="4" w:space="0"/>
            </w:tcBorders>
            <w:shd w:val="clear" w:color="auto" w:fill="auto"/>
            <w:vAlign w:val="center"/>
          </w:tcPr>
          <w:p w14:paraId="5AC4FA96">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面向设备厂商和工厂两大类工业制造企业提供的一个集装备数据采集、边缘计算、云端大数据分析处理、多终端展示的云平台，具有任何设备对接能力、快速部署上线的优势。</w:t>
            </w:r>
          </w:p>
        </w:tc>
        <w:tc>
          <w:tcPr>
            <w:tcW w:w="6060" w:type="dxa"/>
            <w:tcBorders>
              <w:top w:val="single" w:color="auto" w:sz="4" w:space="0"/>
              <w:left w:val="nil"/>
              <w:bottom w:val="single" w:color="auto" w:sz="4" w:space="0"/>
              <w:right w:val="single" w:color="auto" w:sz="4" w:space="0"/>
            </w:tcBorders>
            <w:shd w:val="clear" w:color="auto" w:fill="auto"/>
            <w:vAlign w:val="center"/>
          </w:tcPr>
          <w:p w14:paraId="64E08AAE">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10万元-300万元</w:t>
            </w:r>
          </w:p>
          <w:p w14:paraId="6080E9FC">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1.设备管理模块：50000元-80000元/套</w:t>
            </w:r>
          </w:p>
          <w:p w14:paraId="0FEEFA3C">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2.注塑机联网模块：3500元-6000元/台</w:t>
            </w:r>
          </w:p>
          <w:p w14:paraId="5740765B">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3.机加设备联网模块：4000元-8000元/台</w:t>
            </w:r>
          </w:p>
          <w:p w14:paraId="0E692756">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4.通用设备联网模块：3500元-6000元/台</w:t>
            </w:r>
          </w:p>
          <w:p w14:paraId="6ACDFD9E">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5.智联边缘一体机模块：30000元-50000元/套</w:t>
            </w:r>
          </w:p>
          <w:p w14:paraId="04CD62F5">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6.售后服务管控模块：80000元-120000元/套</w:t>
            </w:r>
          </w:p>
          <w:p w14:paraId="7CBB658D">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7.光谱质检模块：15000元-50000元/场景</w:t>
            </w:r>
          </w:p>
          <w:p w14:paraId="6E550576">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8.预测性维护模块：5000元-6000元/套</w:t>
            </w:r>
          </w:p>
        </w:tc>
        <w:tc>
          <w:tcPr>
            <w:tcW w:w="1565" w:type="dxa"/>
            <w:tcBorders>
              <w:top w:val="single" w:color="auto" w:sz="4" w:space="0"/>
              <w:left w:val="nil"/>
              <w:bottom w:val="single" w:color="auto" w:sz="4" w:space="0"/>
              <w:right w:val="single" w:color="auto" w:sz="4" w:space="0"/>
            </w:tcBorders>
            <w:shd w:val="clear" w:color="auto" w:fill="auto"/>
            <w:vAlign w:val="center"/>
          </w:tcPr>
          <w:p w14:paraId="3C1B391E">
            <w:pPr>
              <w:jc w:val="center"/>
              <w:rPr>
                <w:rFonts w:hint="eastAsia" w:ascii="仿宋_GB2312" w:hAnsi="仿宋_GB2312" w:eastAsia="仿宋_GB2312" w:cs="仿宋_GB2312"/>
                <w:b w:val="0"/>
                <w:bCs w:val="0"/>
                <w:color w:val="auto"/>
                <w:kern w:val="0"/>
                <w:sz w:val="24"/>
                <w:szCs w:val="24"/>
              </w:rPr>
            </w:pPr>
          </w:p>
        </w:tc>
      </w:tr>
      <w:tr w14:paraId="350C7379">
        <w:tblPrEx>
          <w:tblCellMar>
            <w:top w:w="0" w:type="dxa"/>
            <w:left w:w="108" w:type="dxa"/>
            <w:bottom w:w="0" w:type="dxa"/>
            <w:right w:w="108" w:type="dxa"/>
          </w:tblCellMar>
        </w:tblPrEx>
        <w:trPr>
          <w:trHeight w:val="611" w:hRule="atLeast"/>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17545C3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350" w:type="dxa"/>
            <w:tcBorders>
              <w:top w:val="single" w:color="auto" w:sz="4" w:space="0"/>
              <w:left w:val="nil"/>
              <w:bottom w:val="single" w:color="auto" w:sz="4" w:space="0"/>
              <w:right w:val="single" w:color="auto" w:sz="4" w:space="0"/>
            </w:tcBorders>
            <w:shd w:val="clear" w:color="auto" w:fill="auto"/>
            <w:vAlign w:val="center"/>
          </w:tcPr>
          <w:p w14:paraId="6FBB8C7C">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天玑安全平台</w:t>
            </w:r>
          </w:p>
        </w:tc>
        <w:tc>
          <w:tcPr>
            <w:tcW w:w="1230" w:type="dxa"/>
            <w:tcBorders>
              <w:top w:val="single" w:color="auto" w:sz="4" w:space="0"/>
              <w:left w:val="nil"/>
              <w:bottom w:val="single" w:color="auto" w:sz="4" w:space="0"/>
              <w:right w:val="single" w:color="auto" w:sz="4" w:space="0"/>
            </w:tcBorders>
            <w:shd w:val="clear" w:color="auto" w:fill="auto"/>
            <w:vAlign w:val="center"/>
          </w:tcPr>
          <w:p w14:paraId="10E16329">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经营管理、运维服务</w:t>
            </w:r>
          </w:p>
        </w:tc>
        <w:tc>
          <w:tcPr>
            <w:tcW w:w="3645" w:type="dxa"/>
            <w:tcBorders>
              <w:top w:val="single" w:color="auto" w:sz="4" w:space="0"/>
              <w:left w:val="nil"/>
              <w:bottom w:val="single" w:color="auto" w:sz="4" w:space="0"/>
              <w:right w:val="single" w:color="auto" w:sz="4" w:space="0"/>
            </w:tcBorders>
            <w:shd w:val="clear" w:color="auto" w:fill="auto"/>
            <w:vAlign w:val="center"/>
          </w:tcPr>
          <w:p w14:paraId="3F23C233">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面向有网站防护、移动应用加固的工业企业，为工业企业提供线上等保、密评、安全态势感知、安全产品纳管、安全运维等一站式服务。</w:t>
            </w:r>
          </w:p>
        </w:tc>
        <w:tc>
          <w:tcPr>
            <w:tcW w:w="6060" w:type="dxa"/>
            <w:tcBorders>
              <w:top w:val="single" w:color="auto" w:sz="4" w:space="0"/>
              <w:left w:val="nil"/>
              <w:bottom w:val="single" w:color="auto" w:sz="4" w:space="0"/>
              <w:right w:val="single" w:color="auto" w:sz="4" w:space="0"/>
            </w:tcBorders>
            <w:shd w:val="clear" w:color="auto" w:fill="auto"/>
            <w:vAlign w:val="center"/>
          </w:tcPr>
          <w:p w14:paraId="60D5741E">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5万元-300万元</w:t>
            </w:r>
          </w:p>
          <w:p w14:paraId="1E27829F">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按功能收费：基础版10万元，1.等保管理：5万元/套；</w:t>
            </w:r>
          </w:p>
          <w:p w14:paraId="48412B97">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2.密评管理：5万元/套；</w:t>
            </w:r>
          </w:p>
          <w:p w14:paraId="563A9CC9">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3.产品纳管：5万元/套（含3款），纳管每增加1款，1.5万元/款；</w:t>
            </w:r>
          </w:p>
          <w:p w14:paraId="42A22CB9">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4.专项检查：5万元/套；</w:t>
            </w:r>
          </w:p>
          <w:p w14:paraId="4543BF8E">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5.资产管理：5万元/套；</w:t>
            </w:r>
          </w:p>
          <w:p w14:paraId="6F77743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6.工业防火墙（标准版）：4万元/套；工业防火墙（增强版）：5万元/套；</w:t>
            </w:r>
          </w:p>
          <w:p w14:paraId="376CA6CF">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7.工业主机安全加固系统：5万元/套；</w:t>
            </w:r>
          </w:p>
          <w:p w14:paraId="73894E79">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8.工业终端安全卫士（软件版）：2,200元/套；</w:t>
            </w:r>
          </w:p>
          <w:p w14:paraId="4F67A134">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9.工业入侵检测系统（标准版）：5万元/套；工业入侵检测系统（增强版）：6万元/套；</w:t>
            </w:r>
          </w:p>
          <w:p w14:paraId="39B7083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10.工业日志审计分析系统：5万元/套；</w:t>
            </w:r>
          </w:p>
          <w:p w14:paraId="192D399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11.工业监测审计系统（标准版）：5万元/套；工业监测审计系统（增强版）：6万元/套；</w:t>
            </w:r>
          </w:p>
          <w:p w14:paraId="23841E4C">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12.运维审计与管理系统（标准版）：5万元/套；运维审计与管理系统（增强版）：6万元/套；</w:t>
            </w:r>
          </w:p>
          <w:p w14:paraId="38429A2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13.USB安全管理系统（标准版）：5,000元/套；USB安全管理系统（增强版）：10,000元/套；</w:t>
            </w:r>
          </w:p>
          <w:p w14:paraId="4D5C47BA">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14.工业隔离网闸（标准版）：5万元/套；工业隔离网闸（增强版）：6万元/套；</w:t>
            </w:r>
          </w:p>
          <w:p w14:paraId="1DCA1DCA">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15.数据库安全审计系统：5.5万元/套；</w:t>
            </w:r>
          </w:p>
          <w:p w14:paraId="137C342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16.数据库防火墙系统：6.5万元/套；</w:t>
            </w:r>
          </w:p>
          <w:p w14:paraId="25831D8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17.工业安全管理与态势分析平台（标准版）：5万元/套；工业安全管理与态势分析平台（增强版）：7.5万元/套；</w:t>
            </w:r>
          </w:p>
          <w:p w14:paraId="321F191F">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18.工业入侵诱捕系统：15万元/套。</w:t>
            </w:r>
          </w:p>
          <w:p w14:paraId="37748C04">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如另有定制开发，则按2500元/人天计费</w:t>
            </w:r>
          </w:p>
          <w:p w14:paraId="25C0959C">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p>
          <w:p w14:paraId="7968251B">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p>
        </w:tc>
        <w:tc>
          <w:tcPr>
            <w:tcW w:w="1565" w:type="dxa"/>
            <w:tcBorders>
              <w:top w:val="single" w:color="auto" w:sz="4" w:space="0"/>
              <w:left w:val="nil"/>
              <w:bottom w:val="single" w:color="auto" w:sz="4" w:space="0"/>
              <w:right w:val="single" w:color="auto" w:sz="4" w:space="0"/>
            </w:tcBorders>
            <w:shd w:val="clear" w:color="auto" w:fill="auto"/>
            <w:vAlign w:val="center"/>
          </w:tcPr>
          <w:p w14:paraId="0756FB96">
            <w:pPr>
              <w:jc w:val="center"/>
              <w:rPr>
                <w:rFonts w:hint="eastAsia" w:ascii="仿宋_GB2312" w:hAnsi="仿宋_GB2312" w:eastAsia="仿宋_GB2312" w:cs="仿宋_GB2312"/>
                <w:b w:val="0"/>
                <w:bCs w:val="0"/>
                <w:color w:val="auto"/>
                <w:kern w:val="0"/>
                <w:sz w:val="24"/>
                <w:szCs w:val="24"/>
              </w:rPr>
            </w:pPr>
          </w:p>
        </w:tc>
      </w:tr>
      <w:tr w14:paraId="7E772F4A">
        <w:tblPrEx>
          <w:tblCellMar>
            <w:top w:w="0" w:type="dxa"/>
            <w:left w:w="108" w:type="dxa"/>
            <w:bottom w:w="0" w:type="dxa"/>
            <w:right w:w="108" w:type="dxa"/>
          </w:tblCellMar>
        </w:tblPrEx>
        <w:trPr>
          <w:trHeight w:val="2681" w:hRule="atLeast"/>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14:paraId="1E87E01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350" w:type="dxa"/>
            <w:tcBorders>
              <w:top w:val="single" w:color="auto" w:sz="4" w:space="0"/>
              <w:left w:val="nil"/>
              <w:bottom w:val="single" w:color="auto" w:sz="4" w:space="0"/>
              <w:right w:val="single" w:color="auto" w:sz="4" w:space="0"/>
            </w:tcBorders>
            <w:shd w:val="clear" w:color="auto" w:fill="auto"/>
            <w:vAlign w:val="center"/>
          </w:tcPr>
          <w:p w14:paraId="258C8F05">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智慧园区平台</w:t>
            </w:r>
          </w:p>
        </w:tc>
        <w:tc>
          <w:tcPr>
            <w:tcW w:w="1230" w:type="dxa"/>
            <w:tcBorders>
              <w:top w:val="single" w:color="auto" w:sz="4" w:space="0"/>
              <w:left w:val="nil"/>
              <w:bottom w:val="single" w:color="auto" w:sz="4" w:space="0"/>
              <w:right w:val="single" w:color="auto" w:sz="4" w:space="0"/>
            </w:tcBorders>
            <w:shd w:val="clear" w:color="auto" w:fill="auto"/>
            <w:vAlign w:val="center"/>
          </w:tcPr>
          <w:p w14:paraId="009949C3">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经营管理、运维服务</w:t>
            </w:r>
          </w:p>
        </w:tc>
        <w:tc>
          <w:tcPr>
            <w:tcW w:w="3645" w:type="dxa"/>
            <w:tcBorders>
              <w:top w:val="single" w:color="auto" w:sz="4" w:space="0"/>
              <w:left w:val="nil"/>
              <w:bottom w:val="single" w:color="auto" w:sz="4" w:space="0"/>
              <w:right w:val="single" w:color="auto" w:sz="4" w:space="0"/>
            </w:tcBorders>
            <w:shd w:val="clear" w:color="auto" w:fill="auto"/>
            <w:vAlign w:val="center"/>
          </w:tcPr>
          <w:p w14:paraId="758F4BAC">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面向中小微园区、商办楼宇、入园企业的客户群体，提供物业管理、智慧安防、智慧办公、智慧物联、宿舍管理等标准化功能服务，助力客户降本提效增收。</w:t>
            </w:r>
          </w:p>
        </w:tc>
        <w:tc>
          <w:tcPr>
            <w:tcW w:w="6060" w:type="dxa"/>
            <w:tcBorders>
              <w:top w:val="single" w:color="auto" w:sz="4" w:space="0"/>
              <w:left w:val="nil"/>
              <w:bottom w:val="single" w:color="auto" w:sz="4" w:space="0"/>
              <w:right w:val="single" w:color="auto" w:sz="4" w:space="0"/>
            </w:tcBorders>
            <w:shd w:val="clear" w:color="auto" w:fill="auto"/>
            <w:vAlign w:val="center"/>
          </w:tcPr>
          <w:p w14:paraId="44F4D11D">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1万元-200万元</w:t>
            </w:r>
          </w:p>
          <w:p w14:paraId="51E382D1">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1.基础服务：2000元/年/租户，包括物业管理、基础功能等软件功能</w:t>
            </w:r>
          </w:p>
          <w:p w14:paraId="67B3F804">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2.增值服务：2000元/人/天（按工作量）</w:t>
            </w:r>
          </w:p>
          <w:p w14:paraId="77E1B695">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1）系统对接：利旧设备对接、外部系统对接；</w:t>
            </w:r>
          </w:p>
          <w:p w14:paraId="030C1FD7">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2）功能开发：数据大屏、新增功能等定制化开发。</w:t>
            </w:r>
          </w:p>
          <w:p w14:paraId="72BC306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3）设备套餐：安防、办公类等设备采购/租赁服务；</w:t>
            </w:r>
          </w:p>
          <w:p w14:paraId="1C75D2D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4）配套服务：AI、网络、云服务。</w:t>
            </w:r>
          </w:p>
        </w:tc>
        <w:tc>
          <w:tcPr>
            <w:tcW w:w="1565" w:type="dxa"/>
            <w:tcBorders>
              <w:top w:val="single" w:color="auto" w:sz="4" w:space="0"/>
              <w:left w:val="nil"/>
              <w:bottom w:val="single" w:color="auto" w:sz="4" w:space="0"/>
              <w:right w:val="single" w:color="auto" w:sz="4" w:space="0"/>
            </w:tcBorders>
            <w:shd w:val="clear" w:color="auto" w:fill="auto"/>
            <w:vAlign w:val="center"/>
          </w:tcPr>
          <w:p w14:paraId="1BD99F99">
            <w:pPr>
              <w:jc w:val="center"/>
              <w:rPr>
                <w:rFonts w:hint="eastAsia" w:ascii="仿宋_GB2312" w:hAnsi="仿宋_GB2312" w:eastAsia="仿宋_GB2312" w:cs="仿宋_GB2312"/>
                <w:b w:val="0"/>
                <w:bCs w:val="0"/>
                <w:color w:val="auto"/>
                <w:kern w:val="0"/>
                <w:sz w:val="24"/>
                <w:szCs w:val="24"/>
              </w:rPr>
            </w:pPr>
          </w:p>
        </w:tc>
      </w:tr>
    </w:tbl>
    <w:p w14:paraId="3A0FC5DE">
      <w:pPr>
        <w:rPr>
          <w:rFonts w:ascii="仿宋_GB2312" w:hAnsi="仿宋_GB2312" w:eastAsia="仿宋_GB2312" w:cs="仿宋_GB2312"/>
          <w:bCs/>
          <w:sz w:val="32"/>
          <w:szCs w:val="32"/>
        </w:rPr>
      </w:pPr>
    </w:p>
    <w:p w14:paraId="75A6AA01">
      <w:pPr>
        <w:rPr>
          <w:rFonts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19FEC204">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联合体成员：佛山圆方数科工业互联网技术有限公司</w:t>
      </w:r>
    </w:p>
    <w:tbl>
      <w:tblPr>
        <w:tblStyle w:val="14"/>
        <w:tblW w:w="14592" w:type="dxa"/>
        <w:tblInd w:w="-509" w:type="dxa"/>
        <w:tblLayout w:type="autofit"/>
        <w:tblCellMar>
          <w:top w:w="0" w:type="dxa"/>
          <w:left w:w="108" w:type="dxa"/>
          <w:bottom w:w="0" w:type="dxa"/>
          <w:right w:w="108" w:type="dxa"/>
        </w:tblCellMar>
      </w:tblPr>
      <w:tblGrid>
        <w:gridCol w:w="750"/>
        <w:gridCol w:w="1800"/>
        <w:gridCol w:w="1125"/>
        <w:gridCol w:w="6057"/>
        <w:gridCol w:w="3438"/>
        <w:gridCol w:w="1422"/>
      </w:tblGrid>
      <w:tr w14:paraId="2A9AEA3F">
        <w:tblPrEx>
          <w:tblCellMar>
            <w:top w:w="0" w:type="dxa"/>
            <w:left w:w="108" w:type="dxa"/>
            <w:bottom w:w="0" w:type="dxa"/>
            <w:right w:w="108" w:type="dxa"/>
          </w:tblCellMar>
        </w:tblPrEx>
        <w:trPr>
          <w:trHeight w:val="601"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47B7CD3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800" w:type="dxa"/>
            <w:tcBorders>
              <w:top w:val="single" w:color="auto" w:sz="4" w:space="0"/>
              <w:left w:val="nil"/>
              <w:bottom w:val="single" w:color="auto" w:sz="4" w:space="0"/>
              <w:right w:val="single" w:color="auto" w:sz="4" w:space="0"/>
            </w:tcBorders>
            <w:shd w:val="clear" w:color="auto" w:fill="auto"/>
            <w:vAlign w:val="center"/>
          </w:tcPr>
          <w:p w14:paraId="3F77A8B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1125" w:type="dxa"/>
            <w:tcBorders>
              <w:top w:val="single" w:color="auto" w:sz="4" w:space="0"/>
              <w:left w:val="nil"/>
              <w:bottom w:val="single" w:color="auto" w:sz="4" w:space="0"/>
              <w:right w:val="single" w:color="auto" w:sz="4" w:space="0"/>
            </w:tcBorders>
            <w:shd w:val="clear" w:color="auto" w:fill="auto"/>
            <w:vAlign w:val="center"/>
          </w:tcPr>
          <w:p w14:paraId="4C4F53C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6057" w:type="dxa"/>
            <w:tcBorders>
              <w:top w:val="single" w:color="auto" w:sz="4" w:space="0"/>
              <w:left w:val="nil"/>
              <w:bottom w:val="single" w:color="auto" w:sz="4" w:space="0"/>
              <w:right w:val="single" w:color="auto" w:sz="4" w:space="0"/>
            </w:tcBorders>
            <w:shd w:val="clear" w:color="auto" w:fill="auto"/>
            <w:vAlign w:val="center"/>
          </w:tcPr>
          <w:p w14:paraId="1DB4958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3438" w:type="dxa"/>
            <w:tcBorders>
              <w:top w:val="single" w:color="auto" w:sz="4" w:space="0"/>
              <w:left w:val="nil"/>
              <w:bottom w:val="single" w:color="auto" w:sz="4" w:space="0"/>
              <w:right w:val="single" w:color="auto" w:sz="4" w:space="0"/>
            </w:tcBorders>
            <w:shd w:val="clear" w:color="auto" w:fill="auto"/>
            <w:vAlign w:val="center"/>
          </w:tcPr>
          <w:p w14:paraId="4B0E3DC3">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22" w:type="dxa"/>
            <w:tcBorders>
              <w:top w:val="single" w:color="auto" w:sz="4" w:space="0"/>
              <w:left w:val="nil"/>
              <w:bottom w:val="single" w:color="auto" w:sz="4" w:space="0"/>
              <w:right w:val="single" w:color="auto" w:sz="4" w:space="0"/>
            </w:tcBorders>
            <w:shd w:val="clear" w:color="auto" w:fill="auto"/>
            <w:vAlign w:val="center"/>
          </w:tcPr>
          <w:p w14:paraId="73799FF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372BB354">
        <w:tblPrEx>
          <w:tblCellMar>
            <w:top w:w="0" w:type="dxa"/>
            <w:left w:w="108" w:type="dxa"/>
            <w:bottom w:w="0" w:type="dxa"/>
            <w:right w:w="108" w:type="dxa"/>
          </w:tblCellMar>
        </w:tblPrEx>
        <w:trPr>
          <w:trHeight w:val="601"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12075D1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800" w:type="dxa"/>
            <w:tcBorders>
              <w:top w:val="single" w:color="auto" w:sz="4" w:space="0"/>
              <w:left w:val="nil"/>
              <w:bottom w:val="single" w:color="auto" w:sz="4" w:space="0"/>
              <w:right w:val="single" w:color="auto" w:sz="4" w:space="0"/>
            </w:tcBorders>
            <w:shd w:val="clear" w:color="auto" w:fill="auto"/>
            <w:vAlign w:val="center"/>
          </w:tcPr>
          <w:p w14:paraId="19444F07">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圆方设计云平台（圆方设计云平台V1.0）</w:t>
            </w:r>
          </w:p>
        </w:tc>
        <w:tc>
          <w:tcPr>
            <w:tcW w:w="1125" w:type="dxa"/>
            <w:tcBorders>
              <w:top w:val="single" w:color="auto" w:sz="4" w:space="0"/>
              <w:left w:val="nil"/>
              <w:bottom w:val="single" w:color="auto" w:sz="4" w:space="0"/>
              <w:right w:val="single" w:color="auto" w:sz="4" w:space="0"/>
            </w:tcBorders>
            <w:shd w:val="clear" w:color="auto" w:fill="auto"/>
            <w:vAlign w:val="center"/>
          </w:tcPr>
          <w:p w14:paraId="312E307B">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研发设计</w:t>
            </w:r>
          </w:p>
        </w:tc>
        <w:tc>
          <w:tcPr>
            <w:tcW w:w="6057" w:type="dxa"/>
            <w:tcBorders>
              <w:top w:val="single" w:color="auto" w:sz="4" w:space="0"/>
              <w:left w:val="nil"/>
              <w:bottom w:val="single" w:color="auto" w:sz="4" w:space="0"/>
              <w:right w:val="single" w:color="auto" w:sz="4" w:space="0"/>
            </w:tcBorders>
            <w:shd w:val="clear" w:color="auto" w:fill="auto"/>
            <w:vAlign w:val="center"/>
          </w:tcPr>
          <w:p w14:paraId="762E91B8">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家居定制装修的专用设计软件，硬装、软装以三维概念来进行装修方案设计，云渲染提供快速渲染效果图，对后期施工提供设计深化配套的BIM施工指导全套文件。主要功能包括：家居软装设计、家居硬装设计、定制家居设计、智能设计模块、三维效果图、动画制作、全套BIM设计图纸。</w:t>
            </w:r>
          </w:p>
        </w:tc>
        <w:tc>
          <w:tcPr>
            <w:tcW w:w="3438" w:type="dxa"/>
            <w:tcBorders>
              <w:top w:val="single" w:color="auto" w:sz="4" w:space="0"/>
              <w:left w:val="nil"/>
              <w:bottom w:val="single" w:color="auto" w:sz="4" w:space="0"/>
              <w:right w:val="single" w:color="auto" w:sz="4" w:space="0"/>
            </w:tcBorders>
            <w:shd w:val="clear" w:color="auto" w:fill="auto"/>
            <w:vAlign w:val="center"/>
          </w:tcPr>
          <w:p w14:paraId="02EDC9C4">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1、按项目收费，企业定制服务实施费10万元-50万元；</w:t>
            </w:r>
          </w:p>
          <w:p w14:paraId="44D34F78">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2、SaaS节点年费1800元，视企业采购规模提供一定的折扣。</w:t>
            </w:r>
          </w:p>
        </w:tc>
        <w:tc>
          <w:tcPr>
            <w:tcW w:w="1422" w:type="dxa"/>
            <w:tcBorders>
              <w:top w:val="single" w:color="auto" w:sz="4" w:space="0"/>
              <w:left w:val="nil"/>
              <w:bottom w:val="single" w:color="auto" w:sz="4" w:space="0"/>
              <w:right w:val="single" w:color="auto" w:sz="4" w:space="0"/>
            </w:tcBorders>
            <w:shd w:val="clear" w:color="auto" w:fill="auto"/>
            <w:vAlign w:val="center"/>
          </w:tcPr>
          <w:p w14:paraId="13A16B28">
            <w:pPr>
              <w:jc w:val="center"/>
              <w:rPr>
                <w:rFonts w:hint="eastAsia" w:ascii="仿宋_GB2312" w:hAnsi="仿宋_GB2312" w:eastAsia="仿宋_GB2312" w:cs="仿宋_GB2312"/>
                <w:b w:val="0"/>
                <w:bCs w:val="0"/>
                <w:color w:val="auto"/>
                <w:kern w:val="0"/>
                <w:sz w:val="24"/>
                <w:szCs w:val="24"/>
              </w:rPr>
            </w:pPr>
          </w:p>
        </w:tc>
      </w:tr>
      <w:tr w14:paraId="5687BE44">
        <w:tblPrEx>
          <w:tblCellMar>
            <w:top w:w="0" w:type="dxa"/>
            <w:left w:w="108" w:type="dxa"/>
            <w:bottom w:w="0" w:type="dxa"/>
            <w:right w:w="108" w:type="dxa"/>
          </w:tblCellMar>
        </w:tblPrEx>
        <w:trPr>
          <w:trHeight w:val="601"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044E64F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800" w:type="dxa"/>
            <w:tcBorders>
              <w:top w:val="single" w:color="auto" w:sz="4" w:space="0"/>
              <w:left w:val="nil"/>
              <w:bottom w:val="single" w:color="auto" w:sz="4" w:space="0"/>
              <w:right w:val="single" w:color="auto" w:sz="4" w:space="0"/>
            </w:tcBorders>
            <w:shd w:val="clear" w:color="auto" w:fill="auto"/>
            <w:vAlign w:val="center"/>
          </w:tcPr>
          <w:p w14:paraId="48774DF6">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圆方数据可视化决策系统（圆方数据可视化决策系统V1.0）（BI）</w:t>
            </w:r>
          </w:p>
        </w:tc>
        <w:tc>
          <w:tcPr>
            <w:tcW w:w="1125" w:type="dxa"/>
            <w:tcBorders>
              <w:top w:val="single" w:color="auto" w:sz="4" w:space="0"/>
              <w:left w:val="nil"/>
              <w:bottom w:val="single" w:color="auto" w:sz="4" w:space="0"/>
              <w:right w:val="single" w:color="auto" w:sz="4" w:space="0"/>
            </w:tcBorders>
            <w:shd w:val="clear" w:color="auto" w:fill="auto"/>
            <w:vAlign w:val="center"/>
          </w:tcPr>
          <w:p w14:paraId="199C82DA">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经营管理</w:t>
            </w:r>
          </w:p>
        </w:tc>
        <w:tc>
          <w:tcPr>
            <w:tcW w:w="6057" w:type="dxa"/>
            <w:tcBorders>
              <w:top w:val="single" w:color="auto" w:sz="4" w:space="0"/>
              <w:left w:val="nil"/>
              <w:bottom w:val="single" w:color="auto" w:sz="4" w:space="0"/>
              <w:right w:val="single" w:color="auto" w:sz="4" w:space="0"/>
            </w:tcBorders>
            <w:shd w:val="clear" w:color="auto" w:fill="auto"/>
            <w:vAlign w:val="center"/>
          </w:tcPr>
          <w:p w14:paraId="1EE6C8CA">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借助于图形化手段，清晰有效传达与沟通信息，辅助管理者做好管理决策，对数据进行数据分析，分析结果可视化，帮助用户更好地理解数据信息，挖掘数据价值，企业利用数据可视化可以更高效地提取有价值的信息。</w:t>
            </w:r>
          </w:p>
        </w:tc>
        <w:tc>
          <w:tcPr>
            <w:tcW w:w="3438" w:type="dxa"/>
            <w:tcBorders>
              <w:top w:val="single" w:color="auto" w:sz="4" w:space="0"/>
              <w:left w:val="nil"/>
              <w:bottom w:val="single" w:color="auto" w:sz="4" w:space="0"/>
              <w:right w:val="single" w:color="auto" w:sz="4" w:space="0"/>
            </w:tcBorders>
            <w:shd w:val="clear" w:color="auto" w:fill="auto"/>
            <w:vAlign w:val="center"/>
          </w:tcPr>
          <w:p w14:paraId="674BFB77">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1、按项目收费，企业定制服务实施费10万元-20万元（不含硬件，根据企业具体情况而定相应设备数量）；</w:t>
            </w:r>
          </w:p>
        </w:tc>
        <w:tc>
          <w:tcPr>
            <w:tcW w:w="1422" w:type="dxa"/>
            <w:tcBorders>
              <w:top w:val="single" w:color="auto" w:sz="4" w:space="0"/>
              <w:left w:val="nil"/>
              <w:bottom w:val="single" w:color="auto" w:sz="4" w:space="0"/>
              <w:right w:val="single" w:color="auto" w:sz="4" w:space="0"/>
            </w:tcBorders>
            <w:shd w:val="clear" w:color="auto" w:fill="auto"/>
            <w:vAlign w:val="center"/>
          </w:tcPr>
          <w:p w14:paraId="3AE3011A">
            <w:pPr>
              <w:jc w:val="center"/>
              <w:rPr>
                <w:rFonts w:hint="eastAsia" w:ascii="仿宋_GB2312" w:hAnsi="仿宋_GB2312" w:eastAsia="仿宋_GB2312" w:cs="仿宋_GB2312"/>
                <w:b w:val="0"/>
                <w:bCs w:val="0"/>
                <w:color w:val="auto"/>
                <w:kern w:val="0"/>
                <w:sz w:val="24"/>
                <w:szCs w:val="24"/>
              </w:rPr>
            </w:pPr>
          </w:p>
        </w:tc>
      </w:tr>
      <w:tr w14:paraId="7CB8256A">
        <w:tblPrEx>
          <w:tblCellMar>
            <w:top w:w="0" w:type="dxa"/>
            <w:left w:w="108" w:type="dxa"/>
            <w:bottom w:w="0" w:type="dxa"/>
            <w:right w:w="108" w:type="dxa"/>
          </w:tblCellMar>
        </w:tblPrEx>
        <w:trPr>
          <w:trHeight w:val="601"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14225C4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800" w:type="dxa"/>
            <w:tcBorders>
              <w:top w:val="single" w:color="auto" w:sz="4" w:space="0"/>
              <w:left w:val="nil"/>
              <w:bottom w:val="single" w:color="auto" w:sz="4" w:space="0"/>
              <w:right w:val="single" w:color="auto" w:sz="4" w:space="0"/>
            </w:tcBorders>
            <w:shd w:val="clear" w:color="auto" w:fill="auto"/>
            <w:vAlign w:val="center"/>
          </w:tcPr>
          <w:p w14:paraId="0AA7DAE6">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rPr>
              <w:t>圆方家居拆单系统（圆方家居拆单系统V1.0）（FDM）</w:t>
            </w:r>
          </w:p>
        </w:tc>
        <w:tc>
          <w:tcPr>
            <w:tcW w:w="1125" w:type="dxa"/>
            <w:tcBorders>
              <w:top w:val="single" w:color="auto" w:sz="4" w:space="0"/>
              <w:left w:val="nil"/>
              <w:bottom w:val="single" w:color="auto" w:sz="4" w:space="0"/>
              <w:right w:val="single" w:color="auto" w:sz="4" w:space="0"/>
            </w:tcBorders>
            <w:shd w:val="clear" w:color="auto" w:fill="auto"/>
            <w:vAlign w:val="center"/>
          </w:tcPr>
          <w:p w14:paraId="402253E6">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研发设计及生产制造</w:t>
            </w:r>
          </w:p>
        </w:tc>
        <w:tc>
          <w:tcPr>
            <w:tcW w:w="6057" w:type="dxa"/>
            <w:tcBorders>
              <w:top w:val="single" w:color="auto" w:sz="4" w:space="0"/>
              <w:left w:val="nil"/>
              <w:bottom w:val="single" w:color="auto" w:sz="4" w:space="0"/>
              <w:right w:val="single" w:color="auto" w:sz="4" w:space="0"/>
            </w:tcBorders>
            <w:shd w:val="clear" w:color="auto" w:fill="auto"/>
            <w:vAlign w:val="center"/>
          </w:tcPr>
          <w:p w14:paraId="622A749F">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将每个销售终端店面上传的订单数据通过拆单系统，拆分成各类生产要素：如材料列表，五金列表，加工工艺等，把设计方案转化成生产要素，为后面的生产环节，提供准确的模型数据，提高传统家居制造业的拆单效率和大幅降低出错率。</w:t>
            </w:r>
          </w:p>
        </w:tc>
        <w:tc>
          <w:tcPr>
            <w:tcW w:w="3438" w:type="dxa"/>
            <w:tcBorders>
              <w:top w:val="single" w:color="auto" w:sz="4" w:space="0"/>
              <w:left w:val="nil"/>
              <w:bottom w:val="single" w:color="auto" w:sz="4" w:space="0"/>
              <w:right w:val="single" w:color="auto" w:sz="4" w:space="0"/>
            </w:tcBorders>
            <w:shd w:val="clear" w:color="auto" w:fill="auto"/>
            <w:vAlign w:val="center"/>
          </w:tcPr>
          <w:p w14:paraId="418993F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1、按项目收费，企业定制服务实施费30万元-60万元；</w:t>
            </w:r>
          </w:p>
          <w:p w14:paraId="2004527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2、后续SaaS年费10万元/年，交付首年免年费；</w:t>
            </w:r>
          </w:p>
          <w:p w14:paraId="4B9BBA4D">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3、维护费按研发工时另行报价。</w:t>
            </w:r>
          </w:p>
        </w:tc>
        <w:tc>
          <w:tcPr>
            <w:tcW w:w="1422" w:type="dxa"/>
            <w:tcBorders>
              <w:top w:val="single" w:color="auto" w:sz="4" w:space="0"/>
              <w:left w:val="nil"/>
              <w:bottom w:val="single" w:color="auto" w:sz="4" w:space="0"/>
              <w:right w:val="single" w:color="auto" w:sz="4" w:space="0"/>
            </w:tcBorders>
            <w:shd w:val="clear" w:color="auto" w:fill="auto"/>
            <w:vAlign w:val="center"/>
          </w:tcPr>
          <w:p w14:paraId="0436D055">
            <w:pPr>
              <w:jc w:val="center"/>
              <w:rPr>
                <w:rFonts w:hint="eastAsia" w:ascii="仿宋_GB2312" w:hAnsi="仿宋_GB2312" w:eastAsia="仿宋_GB2312" w:cs="仿宋_GB2312"/>
                <w:b w:val="0"/>
                <w:bCs w:val="0"/>
                <w:color w:val="auto"/>
                <w:kern w:val="0"/>
                <w:sz w:val="24"/>
                <w:szCs w:val="24"/>
              </w:rPr>
            </w:pPr>
          </w:p>
        </w:tc>
      </w:tr>
      <w:tr w14:paraId="5A02D498">
        <w:tblPrEx>
          <w:tblCellMar>
            <w:top w:w="0" w:type="dxa"/>
            <w:left w:w="108" w:type="dxa"/>
            <w:bottom w:w="0" w:type="dxa"/>
            <w:right w:w="108" w:type="dxa"/>
          </w:tblCellMar>
        </w:tblPrEx>
        <w:trPr>
          <w:trHeight w:val="601"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724BFB5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800" w:type="dxa"/>
            <w:tcBorders>
              <w:top w:val="single" w:color="auto" w:sz="4" w:space="0"/>
              <w:left w:val="nil"/>
              <w:bottom w:val="single" w:color="auto" w:sz="4" w:space="0"/>
              <w:right w:val="single" w:color="auto" w:sz="4" w:space="0"/>
            </w:tcBorders>
            <w:shd w:val="clear" w:color="auto" w:fill="auto"/>
            <w:vAlign w:val="center"/>
          </w:tcPr>
          <w:p w14:paraId="1EB8A9DB">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圆方家居排产系统（圆方家居排产系统V1.0）（APS）</w:t>
            </w:r>
          </w:p>
        </w:tc>
        <w:tc>
          <w:tcPr>
            <w:tcW w:w="1125" w:type="dxa"/>
            <w:tcBorders>
              <w:top w:val="single" w:color="auto" w:sz="4" w:space="0"/>
              <w:left w:val="nil"/>
              <w:bottom w:val="single" w:color="auto" w:sz="4" w:space="0"/>
              <w:right w:val="single" w:color="auto" w:sz="4" w:space="0"/>
            </w:tcBorders>
            <w:shd w:val="clear" w:color="auto" w:fill="auto"/>
            <w:vAlign w:val="center"/>
          </w:tcPr>
          <w:p w14:paraId="786600CE">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生产制造及节能减排</w:t>
            </w:r>
          </w:p>
        </w:tc>
        <w:tc>
          <w:tcPr>
            <w:tcW w:w="6057" w:type="dxa"/>
            <w:tcBorders>
              <w:top w:val="single" w:color="auto" w:sz="4" w:space="0"/>
              <w:left w:val="nil"/>
              <w:bottom w:val="single" w:color="auto" w:sz="4" w:space="0"/>
              <w:right w:val="single" w:color="auto" w:sz="4" w:space="0"/>
            </w:tcBorders>
            <w:shd w:val="clear" w:color="auto" w:fill="auto"/>
            <w:vAlign w:val="center"/>
          </w:tcPr>
          <w:p w14:paraId="48D523F8">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基于云计算的人工智能实现排产决策优化技术，利用云计算的庞大计算力，并通过人工智能建模优化算法完成超大数量的订单组合方案的排产生产仿真，找出各方面综合最优的订单组合方案。 优化后的加工批次排产能有效提升出材率、降低生产过程中的仓库占用率，并减少生产计划人员管理成本，实现大幅降低生产成本。</w:t>
            </w:r>
          </w:p>
        </w:tc>
        <w:tc>
          <w:tcPr>
            <w:tcW w:w="3438" w:type="dxa"/>
            <w:tcBorders>
              <w:top w:val="single" w:color="auto" w:sz="4" w:space="0"/>
              <w:left w:val="nil"/>
              <w:bottom w:val="single" w:color="auto" w:sz="4" w:space="0"/>
              <w:right w:val="single" w:color="auto" w:sz="4" w:space="0"/>
            </w:tcBorders>
            <w:shd w:val="clear" w:color="auto" w:fill="auto"/>
            <w:vAlign w:val="center"/>
          </w:tcPr>
          <w:p w14:paraId="63F5D27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1、按项目收费，企业定制服务实施费30万元-60万元；</w:t>
            </w:r>
          </w:p>
          <w:p w14:paraId="7A6C3686">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2、后续SaaS年费10万元/年，交付首年免年费；</w:t>
            </w:r>
          </w:p>
          <w:p w14:paraId="56CD85F4">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3、维护费按研发工时另行报价。</w:t>
            </w:r>
          </w:p>
        </w:tc>
        <w:tc>
          <w:tcPr>
            <w:tcW w:w="1422" w:type="dxa"/>
            <w:tcBorders>
              <w:top w:val="single" w:color="auto" w:sz="4" w:space="0"/>
              <w:left w:val="nil"/>
              <w:bottom w:val="single" w:color="auto" w:sz="4" w:space="0"/>
              <w:right w:val="single" w:color="auto" w:sz="4" w:space="0"/>
            </w:tcBorders>
            <w:shd w:val="clear" w:color="auto" w:fill="auto"/>
            <w:vAlign w:val="center"/>
          </w:tcPr>
          <w:p w14:paraId="76C906CB">
            <w:pPr>
              <w:jc w:val="center"/>
              <w:rPr>
                <w:rFonts w:hint="eastAsia" w:ascii="仿宋_GB2312" w:hAnsi="仿宋_GB2312" w:eastAsia="仿宋_GB2312" w:cs="仿宋_GB2312"/>
                <w:b w:val="0"/>
                <w:bCs w:val="0"/>
                <w:color w:val="auto"/>
                <w:kern w:val="0"/>
                <w:sz w:val="24"/>
                <w:szCs w:val="24"/>
              </w:rPr>
            </w:pPr>
          </w:p>
        </w:tc>
      </w:tr>
      <w:tr w14:paraId="01A2B348">
        <w:tblPrEx>
          <w:tblCellMar>
            <w:top w:w="0" w:type="dxa"/>
            <w:left w:w="108" w:type="dxa"/>
            <w:bottom w:w="0" w:type="dxa"/>
            <w:right w:w="108" w:type="dxa"/>
          </w:tblCellMar>
        </w:tblPrEx>
        <w:trPr>
          <w:trHeight w:val="2259"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40B6AB5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800" w:type="dxa"/>
            <w:tcBorders>
              <w:top w:val="single" w:color="auto" w:sz="4" w:space="0"/>
              <w:left w:val="nil"/>
              <w:bottom w:val="single" w:color="auto" w:sz="4" w:space="0"/>
              <w:right w:val="single" w:color="auto" w:sz="4" w:space="0"/>
            </w:tcBorders>
            <w:shd w:val="clear" w:color="auto" w:fill="auto"/>
            <w:vAlign w:val="center"/>
          </w:tcPr>
          <w:p w14:paraId="2F8A6CC9">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圆方供应链管理系统（圆方供应链管理系统V1.0）（SRM）</w:t>
            </w:r>
          </w:p>
        </w:tc>
        <w:tc>
          <w:tcPr>
            <w:tcW w:w="1125" w:type="dxa"/>
            <w:tcBorders>
              <w:top w:val="single" w:color="auto" w:sz="4" w:space="0"/>
              <w:left w:val="nil"/>
              <w:bottom w:val="single" w:color="auto" w:sz="4" w:space="0"/>
              <w:right w:val="single" w:color="auto" w:sz="4" w:space="0"/>
            </w:tcBorders>
            <w:shd w:val="clear" w:color="auto" w:fill="auto"/>
            <w:vAlign w:val="center"/>
          </w:tcPr>
          <w:p w14:paraId="28DCB31F">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经营管理及运维服务</w:t>
            </w:r>
          </w:p>
        </w:tc>
        <w:tc>
          <w:tcPr>
            <w:tcW w:w="6057" w:type="dxa"/>
            <w:tcBorders>
              <w:top w:val="single" w:color="auto" w:sz="4" w:space="0"/>
              <w:left w:val="nil"/>
              <w:bottom w:val="single" w:color="auto" w:sz="4" w:space="0"/>
              <w:right w:val="single" w:color="auto" w:sz="4" w:space="0"/>
            </w:tcBorders>
            <w:shd w:val="clear" w:color="auto" w:fill="auto"/>
            <w:vAlign w:val="center"/>
          </w:tcPr>
          <w:p w14:paraId="5E25C189">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将从原材料采购直到销售给最终用户的全部企业活动集成在一个无缝流程中，保障企业的生产原料以及配套成品采购。基于协同供应链管理的思维，配合供应链中各实体的业务需求，使操作流程和信息系统紧密配合，使各环节无缝链接，形成物流、信息流、单证流、商流和资金流五流合一的模式。实现整体供应链可视化，管理信息化，整体利益最大化，管理成本最小化。</w:t>
            </w:r>
          </w:p>
        </w:tc>
        <w:tc>
          <w:tcPr>
            <w:tcW w:w="3438" w:type="dxa"/>
            <w:tcBorders>
              <w:top w:val="single" w:color="auto" w:sz="4" w:space="0"/>
              <w:left w:val="nil"/>
              <w:bottom w:val="single" w:color="auto" w:sz="4" w:space="0"/>
              <w:right w:val="single" w:color="auto" w:sz="4" w:space="0"/>
            </w:tcBorders>
            <w:shd w:val="clear" w:color="auto" w:fill="auto"/>
            <w:vAlign w:val="center"/>
          </w:tcPr>
          <w:p w14:paraId="3B97BB6F">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1、按项目收费，企业定制服务实施费15万元-30万元；</w:t>
            </w:r>
          </w:p>
          <w:p w14:paraId="2AED70AF">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2、维护费按研发工时另行报价。</w:t>
            </w:r>
          </w:p>
        </w:tc>
        <w:tc>
          <w:tcPr>
            <w:tcW w:w="1422" w:type="dxa"/>
            <w:tcBorders>
              <w:top w:val="single" w:color="auto" w:sz="4" w:space="0"/>
              <w:left w:val="nil"/>
              <w:bottom w:val="single" w:color="auto" w:sz="4" w:space="0"/>
              <w:right w:val="single" w:color="auto" w:sz="4" w:space="0"/>
            </w:tcBorders>
            <w:shd w:val="clear" w:color="auto" w:fill="auto"/>
            <w:vAlign w:val="center"/>
          </w:tcPr>
          <w:p w14:paraId="4C5E114D">
            <w:pPr>
              <w:jc w:val="center"/>
              <w:rPr>
                <w:rFonts w:hint="eastAsia" w:ascii="仿宋_GB2312" w:hAnsi="仿宋_GB2312" w:eastAsia="仿宋_GB2312" w:cs="仿宋_GB2312"/>
                <w:b w:val="0"/>
                <w:bCs w:val="0"/>
                <w:color w:val="auto"/>
                <w:kern w:val="0"/>
                <w:sz w:val="24"/>
                <w:szCs w:val="24"/>
              </w:rPr>
            </w:pPr>
          </w:p>
        </w:tc>
      </w:tr>
      <w:tr w14:paraId="56A0FCC7">
        <w:tblPrEx>
          <w:tblCellMar>
            <w:top w:w="0" w:type="dxa"/>
            <w:left w:w="108" w:type="dxa"/>
            <w:bottom w:w="0" w:type="dxa"/>
            <w:right w:w="108" w:type="dxa"/>
          </w:tblCellMar>
        </w:tblPrEx>
        <w:trPr>
          <w:trHeight w:val="1488"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6024F6E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800" w:type="dxa"/>
            <w:tcBorders>
              <w:top w:val="single" w:color="auto" w:sz="4" w:space="0"/>
              <w:left w:val="nil"/>
              <w:bottom w:val="single" w:color="auto" w:sz="4" w:space="0"/>
              <w:right w:val="single" w:color="auto" w:sz="4" w:space="0"/>
            </w:tcBorders>
            <w:shd w:val="clear" w:color="auto" w:fill="auto"/>
            <w:vAlign w:val="center"/>
          </w:tcPr>
          <w:p w14:paraId="22849878">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圆方仓储管理系统（圆方仓储管理系统V1.0）（WMS）</w:t>
            </w:r>
          </w:p>
        </w:tc>
        <w:tc>
          <w:tcPr>
            <w:tcW w:w="1125" w:type="dxa"/>
            <w:tcBorders>
              <w:top w:val="single" w:color="auto" w:sz="4" w:space="0"/>
              <w:left w:val="nil"/>
              <w:bottom w:val="single" w:color="auto" w:sz="4" w:space="0"/>
              <w:right w:val="single" w:color="auto" w:sz="4" w:space="0"/>
            </w:tcBorders>
            <w:shd w:val="clear" w:color="auto" w:fill="auto"/>
            <w:vAlign w:val="center"/>
          </w:tcPr>
          <w:p w14:paraId="7EE786A0">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经营管理及运维服务</w:t>
            </w:r>
          </w:p>
        </w:tc>
        <w:tc>
          <w:tcPr>
            <w:tcW w:w="6057" w:type="dxa"/>
            <w:tcBorders>
              <w:top w:val="single" w:color="auto" w:sz="4" w:space="0"/>
              <w:left w:val="nil"/>
              <w:bottom w:val="single" w:color="auto" w:sz="4" w:space="0"/>
              <w:right w:val="single" w:color="auto" w:sz="4" w:space="0"/>
            </w:tcBorders>
            <w:shd w:val="clear" w:color="auto" w:fill="auto"/>
            <w:vAlign w:val="center"/>
          </w:tcPr>
          <w:p w14:paraId="025D244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通过PDA扫码技术和无纸化作业流程极大的提高作业效率并降低管理成本、同时所有物料入仓、转仓、备货、出货装车等环节均可实现追溯管理，有效杜绝各个环节的错漏。</w:t>
            </w:r>
          </w:p>
        </w:tc>
        <w:tc>
          <w:tcPr>
            <w:tcW w:w="3438" w:type="dxa"/>
            <w:tcBorders>
              <w:top w:val="single" w:color="auto" w:sz="4" w:space="0"/>
              <w:left w:val="nil"/>
              <w:bottom w:val="single" w:color="auto" w:sz="4" w:space="0"/>
              <w:right w:val="single" w:color="auto" w:sz="4" w:space="0"/>
            </w:tcBorders>
            <w:shd w:val="clear" w:color="auto" w:fill="auto"/>
            <w:vAlign w:val="center"/>
          </w:tcPr>
          <w:p w14:paraId="36578995">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1、按项目收费，企业定制服务实施费15万元-30万元；</w:t>
            </w:r>
          </w:p>
          <w:p w14:paraId="3A468184">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2、维护费按研发工时另行报价。</w:t>
            </w:r>
          </w:p>
        </w:tc>
        <w:tc>
          <w:tcPr>
            <w:tcW w:w="1422" w:type="dxa"/>
            <w:tcBorders>
              <w:top w:val="single" w:color="auto" w:sz="4" w:space="0"/>
              <w:left w:val="nil"/>
              <w:bottom w:val="single" w:color="auto" w:sz="4" w:space="0"/>
              <w:right w:val="single" w:color="auto" w:sz="4" w:space="0"/>
            </w:tcBorders>
            <w:shd w:val="clear" w:color="auto" w:fill="auto"/>
            <w:vAlign w:val="center"/>
          </w:tcPr>
          <w:p w14:paraId="21378B97">
            <w:pPr>
              <w:jc w:val="center"/>
              <w:rPr>
                <w:rFonts w:hint="eastAsia" w:ascii="仿宋_GB2312" w:hAnsi="仿宋_GB2312" w:eastAsia="仿宋_GB2312" w:cs="仿宋_GB2312"/>
                <w:b w:val="0"/>
                <w:bCs w:val="0"/>
                <w:color w:val="auto"/>
                <w:kern w:val="0"/>
                <w:sz w:val="24"/>
                <w:szCs w:val="24"/>
              </w:rPr>
            </w:pPr>
          </w:p>
        </w:tc>
      </w:tr>
      <w:tr w14:paraId="594025EA">
        <w:tblPrEx>
          <w:tblCellMar>
            <w:top w:w="0" w:type="dxa"/>
            <w:left w:w="108" w:type="dxa"/>
            <w:bottom w:w="0" w:type="dxa"/>
            <w:right w:w="108" w:type="dxa"/>
          </w:tblCellMar>
        </w:tblPrEx>
        <w:trPr>
          <w:trHeight w:val="1840"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3E10750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800" w:type="dxa"/>
            <w:tcBorders>
              <w:top w:val="single" w:color="auto" w:sz="4" w:space="0"/>
              <w:left w:val="nil"/>
              <w:bottom w:val="single" w:color="auto" w:sz="4" w:space="0"/>
              <w:right w:val="single" w:color="auto" w:sz="4" w:space="0"/>
            </w:tcBorders>
            <w:shd w:val="clear" w:color="auto" w:fill="auto"/>
            <w:vAlign w:val="center"/>
          </w:tcPr>
          <w:p w14:paraId="510E4BC2">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圆方MES20云平台（圆方MES20云平台V1.0）</w:t>
            </w:r>
          </w:p>
        </w:tc>
        <w:tc>
          <w:tcPr>
            <w:tcW w:w="1125" w:type="dxa"/>
            <w:tcBorders>
              <w:top w:val="single" w:color="auto" w:sz="4" w:space="0"/>
              <w:left w:val="nil"/>
              <w:bottom w:val="single" w:color="auto" w:sz="4" w:space="0"/>
              <w:right w:val="single" w:color="auto" w:sz="4" w:space="0"/>
            </w:tcBorders>
            <w:shd w:val="clear" w:color="auto" w:fill="auto"/>
            <w:vAlign w:val="center"/>
          </w:tcPr>
          <w:p w14:paraId="18D371DD">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生产制造及节能减排</w:t>
            </w:r>
          </w:p>
        </w:tc>
        <w:tc>
          <w:tcPr>
            <w:tcW w:w="6057" w:type="dxa"/>
            <w:tcBorders>
              <w:top w:val="single" w:color="auto" w:sz="4" w:space="0"/>
              <w:left w:val="nil"/>
              <w:bottom w:val="single" w:color="auto" w:sz="4" w:space="0"/>
              <w:right w:val="single" w:color="auto" w:sz="4" w:space="0"/>
            </w:tcBorders>
            <w:shd w:val="clear" w:color="auto" w:fill="auto"/>
            <w:vAlign w:val="center"/>
          </w:tcPr>
          <w:p w14:paraId="4E3E5AB1">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通过管理关键要素进行全面的整合。覆盖企业生产制造从原材料到成品的整体管理流程，利用价值流管理思想对各业务领域进行拉通，全面实现生产透明化，物流智能化，管理移动化，决策数据化，设备自动化，支撑企业的智能制造管理。</w:t>
            </w:r>
          </w:p>
        </w:tc>
        <w:tc>
          <w:tcPr>
            <w:tcW w:w="3438" w:type="dxa"/>
            <w:tcBorders>
              <w:top w:val="single" w:color="auto" w:sz="4" w:space="0"/>
              <w:left w:val="nil"/>
              <w:bottom w:val="single" w:color="auto" w:sz="4" w:space="0"/>
              <w:right w:val="single" w:color="auto" w:sz="4" w:space="0"/>
            </w:tcBorders>
            <w:shd w:val="clear" w:color="auto" w:fill="auto"/>
            <w:vAlign w:val="center"/>
          </w:tcPr>
          <w:p w14:paraId="175304B9">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1、按项目收费，企业定制服务实施费30-90万元，维护费按研发工时另行报价；</w:t>
            </w:r>
          </w:p>
          <w:p w14:paraId="45320729">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2、通用SaaS版本2万元/年。</w:t>
            </w:r>
          </w:p>
        </w:tc>
        <w:tc>
          <w:tcPr>
            <w:tcW w:w="1422" w:type="dxa"/>
            <w:tcBorders>
              <w:top w:val="single" w:color="auto" w:sz="4" w:space="0"/>
              <w:left w:val="nil"/>
              <w:bottom w:val="single" w:color="auto" w:sz="4" w:space="0"/>
              <w:right w:val="single" w:color="auto" w:sz="4" w:space="0"/>
            </w:tcBorders>
            <w:shd w:val="clear" w:color="auto" w:fill="auto"/>
            <w:vAlign w:val="center"/>
          </w:tcPr>
          <w:p w14:paraId="4F9932AF">
            <w:pPr>
              <w:jc w:val="center"/>
              <w:rPr>
                <w:rFonts w:hint="eastAsia" w:ascii="仿宋_GB2312" w:hAnsi="仿宋_GB2312" w:eastAsia="仿宋_GB2312" w:cs="仿宋_GB2312"/>
                <w:b w:val="0"/>
                <w:bCs w:val="0"/>
                <w:color w:val="auto"/>
                <w:kern w:val="0"/>
                <w:sz w:val="24"/>
                <w:szCs w:val="24"/>
              </w:rPr>
            </w:pPr>
          </w:p>
        </w:tc>
      </w:tr>
      <w:tr w14:paraId="6736CF90">
        <w:tblPrEx>
          <w:tblCellMar>
            <w:top w:w="0" w:type="dxa"/>
            <w:left w:w="108" w:type="dxa"/>
            <w:bottom w:w="0" w:type="dxa"/>
            <w:right w:w="108" w:type="dxa"/>
          </w:tblCellMar>
        </w:tblPrEx>
        <w:trPr>
          <w:trHeight w:val="611"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02CDD4B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800" w:type="dxa"/>
            <w:tcBorders>
              <w:top w:val="single" w:color="auto" w:sz="4" w:space="0"/>
              <w:left w:val="nil"/>
              <w:bottom w:val="single" w:color="auto" w:sz="4" w:space="0"/>
              <w:right w:val="single" w:color="auto" w:sz="4" w:space="0"/>
            </w:tcBorders>
            <w:shd w:val="clear" w:color="auto" w:fill="auto"/>
            <w:vAlign w:val="center"/>
          </w:tcPr>
          <w:p w14:paraId="207023F2">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圆方制造运营管理平台V1.0</w:t>
            </w:r>
          </w:p>
        </w:tc>
        <w:tc>
          <w:tcPr>
            <w:tcW w:w="1125" w:type="dxa"/>
            <w:tcBorders>
              <w:top w:val="single" w:color="auto" w:sz="4" w:space="0"/>
              <w:left w:val="nil"/>
              <w:bottom w:val="single" w:color="auto" w:sz="4" w:space="0"/>
              <w:right w:val="single" w:color="auto" w:sz="4" w:space="0"/>
            </w:tcBorders>
            <w:shd w:val="clear" w:color="auto" w:fill="auto"/>
            <w:vAlign w:val="center"/>
          </w:tcPr>
          <w:p w14:paraId="106BD0D6">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生产制造及节能减排</w:t>
            </w:r>
          </w:p>
        </w:tc>
        <w:tc>
          <w:tcPr>
            <w:tcW w:w="6057" w:type="dxa"/>
            <w:tcBorders>
              <w:top w:val="single" w:color="auto" w:sz="4" w:space="0"/>
              <w:left w:val="nil"/>
              <w:bottom w:val="single" w:color="auto" w:sz="4" w:space="0"/>
              <w:right w:val="single" w:color="auto" w:sz="4" w:space="0"/>
            </w:tcBorders>
            <w:shd w:val="clear" w:color="auto" w:fill="auto"/>
            <w:vAlign w:val="center"/>
          </w:tcPr>
          <w:p w14:paraId="05A64F0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通过对数字化智能化工作流、信息流、物流和资金流的有效管理，实现资源共享和工作高度协同，构建全新数字化规划、决策、执行智能制造体系，实现企业全部生产业务流程一体化运作。在生产、经营、设计、决策、产品以及物联网、大数据、云计算、信息安全等方面有较突出作用，实现“物理工厂”的“信息领域”的投影，生产变化及灵活性更高，生产要素自动配置。</w:t>
            </w:r>
          </w:p>
        </w:tc>
        <w:tc>
          <w:tcPr>
            <w:tcW w:w="3438" w:type="dxa"/>
            <w:tcBorders>
              <w:top w:val="single" w:color="auto" w:sz="4" w:space="0"/>
              <w:left w:val="nil"/>
              <w:bottom w:val="single" w:color="auto" w:sz="4" w:space="0"/>
              <w:right w:val="single" w:color="auto" w:sz="4" w:space="0"/>
            </w:tcBorders>
            <w:shd w:val="clear" w:color="auto" w:fill="auto"/>
            <w:vAlign w:val="center"/>
          </w:tcPr>
          <w:p w14:paraId="381A8C0E">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1、按项目收费，企业定制服务实施费60万元-90万元（不含硬件，根据企业具体情况而定相应设备数量）；</w:t>
            </w:r>
          </w:p>
          <w:p w14:paraId="132BE94E">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2、维护费按研发工时另行报价。</w:t>
            </w:r>
          </w:p>
        </w:tc>
        <w:tc>
          <w:tcPr>
            <w:tcW w:w="1422" w:type="dxa"/>
            <w:tcBorders>
              <w:top w:val="single" w:color="auto" w:sz="4" w:space="0"/>
              <w:left w:val="nil"/>
              <w:bottom w:val="single" w:color="auto" w:sz="4" w:space="0"/>
              <w:right w:val="single" w:color="auto" w:sz="4" w:space="0"/>
            </w:tcBorders>
            <w:shd w:val="clear" w:color="auto" w:fill="auto"/>
            <w:vAlign w:val="center"/>
          </w:tcPr>
          <w:p w14:paraId="6A8B0360">
            <w:pPr>
              <w:jc w:val="center"/>
              <w:rPr>
                <w:rFonts w:hint="eastAsia" w:ascii="仿宋_GB2312" w:hAnsi="仿宋_GB2312" w:eastAsia="仿宋_GB2312" w:cs="仿宋_GB2312"/>
                <w:b w:val="0"/>
                <w:bCs w:val="0"/>
                <w:color w:val="auto"/>
                <w:kern w:val="0"/>
                <w:sz w:val="24"/>
                <w:szCs w:val="24"/>
              </w:rPr>
            </w:pPr>
          </w:p>
        </w:tc>
      </w:tr>
      <w:tr w14:paraId="783D8EBC">
        <w:trPr>
          <w:trHeight w:val="2568"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6F12720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800" w:type="dxa"/>
            <w:tcBorders>
              <w:top w:val="single" w:color="auto" w:sz="4" w:space="0"/>
              <w:left w:val="nil"/>
              <w:bottom w:val="single" w:color="auto" w:sz="4" w:space="0"/>
              <w:right w:val="single" w:color="auto" w:sz="4" w:space="0"/>
            </w:tcBorders>
            <w:shd w:val="clear" w:color="auto" w:fill="auto"/>
            <w:vAlign w:val="center"/>
          </w:tcPr>
          <w:p w14:paraId="6B130951">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圆方数字营销管理系统V1.0</w:t>
            </w:r>
          </w:p>
        </w:tc>
        <w:tc>
          <w:tcPr>
            <w:tcW w:w="1125" w:type="dxa"/>
            <w:tcBorders>
              <w:top w:val="single" w:color="auto" w:sz="4" w:space="0"/>
              <w:left w:val="nil"/>
              <w:bottom w:val="single" w:color="auto" w:sz="4" w:space="0"/>
              <w:right w:val="single" w:color="auto" w:sz="4" w:space="0"/>
            </w:tcBorders>
            <w:shd w:val="clear" w:color="auto" w:fill="auto"/>
            <w:vAlign w:val="center"/>
          </w:tcPr>
          <w:p w14:paraId="715F8836">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经营管理</w:t>
            </w:r>
          </w:p>
        </w:tc>
        <w:tc>
          <w:tcPr>
            <w:tcW w:w="6057" w:type="dxa"/>
            <w:tcBorders>
              <w:top w:val="single" w:color="auto" w:sz="4" w:space="0"/>
              <w:left w:val="nil"/>
              <w:bottom w:val="single" w:color="auto" w:sz="4" w:space="0"/>
              <w:right w:val="single" w:color="auto" w:sz="4" w:space="0"/>
            </w:tcBorders>
            <w:shd w:val="clear" w:color="auto" w:fill="auto"/>
            <w:vAlign w:val="center"/>
          </w:tcPr>
          <w:p w14:paraId="4DD02B47">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包含会员管理系统、SOP智能营销系统、流量分发管理系统及招商管理系统四个核心模块。会员管理系统及SOP智能营销系统共同构成了私域数字营销的核心能力，重点在构建企业长周期私域运营能力，实现企业长周期营销驱动发展。流量分发管理系统及招商管理系统则在终端经营与渠道拓展效率方面，构建业务管理透明化能力，实现企业业务流程数字化，完成管理数据驱动运营的发展。</w:t>
            </w:r>
          </w:p>
        </w:tc>
        <w:tc>
          <w:tcPr>
            <w:tcW w:w="3438" w:type="dxa"/>
            <w:tcBorders>
              <w:top w:val="single" w:color="auto" w:sz="4" w:space="0"/>
              <w:left w:val="nil"/>
              <w:bottom w:val="single" w:color="auto" w:sz="4" w:space="0"/>
              <w:right w:val="single" w:color="auto" w:sz="4" w:space="0"/>
            </w:tcBorders>
            <w:shd w:val="clear" w:color="auto" w:fill="auto"/>
            <w:vAlign w:val="center"/>
          </w:tcPr>
          <w:p w14:paraId="100A3AE9">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1、按项目收费，企业定制服务实施费20万元-50万元；</w:t>
            </w:r>
          </w:p>
          <w:p w14:paraId="7B0C9FED">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2、维护费按研发工时另行报价。</w:t>
            </w:r>
          </w:p>
        </w:tc>
        <w:tc>
          <w:tcPr>
            <w:tcW w:w="1422" w:type="dxa"/>
            <w:tcBorders>
              <w:top w:val="single" w:color="auto" w:sz="4" w:space="0"/>
              <w:left w:val="nil"/>
              <w:bottom w:val="single" w:color="auto" w:sz="4" w:space="0"/>
              <w:right w:val="single" w:color="auto" w:sz="4" w:space="0"/>
            </w:tcBorders>
            <w:shd w:val="clear" w:color="auto" w:fill="auto"/>
            <w:vAlign w:val="center"/>
          </w:tcPr>
          <w:p w14:paraId="4DD67402">
            <w:pPr>
              <w:jc w:val="center"/>
              <w:rPr>
                <w:rFonts w:hint="eastAsia" w:ascii="仿宋_GB2312" w:hAnsi="仿宋_GB2312" w:eastAsia="仿宋_GB2312" w:cs="仿宋_GB2312"/>
                <w:b w:val="0"/>
                <w:bCs w:val="0"/>
                <w:color w:val="auto"/>
                <w:kern w:val="0"/>
                <w:sz w:val="24"/>
                <w:szCs w:val="24"/>
              </w:rPr>
            </w:pPr>
          </w:p>
        </w:tc>
      </w:tr>
      <w:tr w14:paraId="7D03ABAC">
        <w:tblPrEx>
          <w:tblCellMar>
            <w:top w:w="0" w:type="dxa"/>
            <w:left w:w="108" w:type="dxa"/>
            <w:bottom w:w="0" w:type="dxa"/>
            <w:right w:w="108" w:type="dxa"/>
          </w:tblCellMar>
        </w:tblPrEx>
        <w:trPr>
          <w:trHeight w:val="1831" w:hRule="atLeast"/>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7DA34846">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800" w:type="dxa"/>
            <w:tcBorders>
              <w:top w:val="single" w:color="auto" w:sz="4" w:space="0"/>
              <w:left w:val="nil"/>
              <w:bottom w:val="single" w:color="auto" w:sz="4" w:space="0"/>
              <w:right w:val="single" w:color="auto" w:sz="4" w:space="0"/>
            </w:tcBorders>
            <w:shd w:val="clear" w:color="auto" w:fill="auto"/>
            <w:vAlign w:val="center"/>
          </w:tcPr>
          <w:p w14:paraId="15A31190">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圆方订单管理系统V1.0</w:t>
            </w:r>
          </w:p>
        </w:tc>
        <w:tc>
          <w:tcPr>
            <w:tcW w:w="1125" w:type="dxa"/>
            <w:tcBorders>
              <w:top w:val="single" w:color="auto" w:sz="4" w:space="0"/>
              <w:left w:val="nil"/>
              <w:bottom w:val="single" w:color="auto" w:sz="4" w:space="0"/>
              <w:right w:val="single" w:color="auto" w:sz="4" w:space="0"/>
            </w:tcBorders>
            <w:shd w:val="clear" w:color="auto" w:fill="auto"/>
            <w:vAlign w:val="center"/>
          </w:tcPr>
          <w:p w14:paraId="304BE9F1">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经营管理</w:t>
            </w:r>
          </w:p>
        </w:tc>
        <w:tc>
          <w:tcPr>
            <w:tcW w:w="6057" w:type="dxa"/>
            <w:tcBorders>
              <w:top w:val="single" w:color="auto" w:sz="4" w:space="0"/>
              <w:left w:val="nil"/>
              <w:bottom w:val="single" w:color="auto" w:sz="4" w:space="0"/>
              <w:right w:val="single" w:color="auto" w:sz="4" w:space="0"/>
            </w:tcBorders>
            <w:shd w:val="clear" w:color="auto" w:fill="auto"/>
            <w:vAlign w:val="center"/>
          </w:tcPr>
          <w:p w14:paraId="6427A224">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sz w:val="24"/>
                <w:szCs w:val="24"/>
                <w:lang w:val="en-US" w:eastAsia="zh-CN"/>
              </w:rPr>
              <w:t>处理客户订单的系统解决方案，综合集成了客户信息管理、订单下单处理、订单报价、订单跟踪、收款处理、订单拆单、订单审核、权限和安全管理、API集成和数据分析等多个功能及环节。</w:t>
            </w:r>
          </w:p>
        </w:tc>
        <w:tc>
          <w:tcPr>
            <w:tcW w:w="3438" w:type="dxa"/>
            <w:tcBorders>
              <w:top w:val="single" w:color="auto" w:sz="4" w:space="0"/>
              <w:left w:val="nil"/>
              <w:bottom w:val="single" w:color="auto" w:sz="4" w:space="0"/>
              <w:right w:val="single" w:color="auto" w:sz="4" w:space="0"/>
            </w:tcBorders>
            <w:shd w:val="clear" w:color="auto" w:fill="auto"/>
            <w:vAlign w:val="center"/>
          </w:tcPr>
          <w:p w14:paraId="5BD4AC58">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1、按项目收费，企业定制服务实施费10万元-25万元；</w:t>
            </w:r>
          </w:p>
          <w:p w14:paraId="3BC0DA8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2、维护费按研发工时另行报价。</w:t>
            </w:r>
          </w:p>
        </w:tc>
        <w:tc>
          <w:tcPr>
            <w:tcW w:w="1422" w:type="dxa"/>
            <w:tcBorders>
              <w:top w:val="single" w:color="auto" w:sz="4" w:space="0"/>
              <w:left w:val="nil"/>
              <w:bottom w:val="single" w:color="auto" w:sz="4" w:space="0"/>
              <w:right w:val="single" w:color="auto" w:sz="4" w:space="0"/>
            </w:tcBorders>
            <w:shd w:val="clear" w:color="auto" w:fill="auto"/>
            <w:vAlign w:val="center"/>
          </w:tcPr>
          <w:p w14:paraId="6807CFB6">
            <w:pPr>
              <w:jc w:val="center"/>
              <w:rPr>
                <w:rFonts w:hint="eastAsia" w:ascii="仿宋_GB2312" w:hAnsi="仿宋_GB2312" w:eastAsia="仿宋_GB2312" w:cs="仿宋_GB2312"/>
                <w:b w:val="0"/>
                <w:bCs w:val="0"/>
                <w:color w:val="auto"/>
                <w:kern w:val="0"/>
                <w:sz w:val="24"/>
                <w:szCs w:val="24"/>
              </w:rPr>
            </w:pPr>
          </w:p>
        </w:tc>
      </w:tr>
    </w:tbl>
    <w:p w14:paraId="18871426">
      <w:pPr>
        <w:rPr>
          <w:rFonts w:ascii="仿宋_GB2312" w:hAnsi="仿宋_GB2312" w:eastAsia="仿宋_GB2312" w:cs="仿宋_GB2312"/>
          <w:bCs/>
          <w:sz w:val="32"/>
          <w:szCs w:val="32"/>
        </w:rPr>
      </w:pPr>
    </w:p>
    <w:p w14:paraId="4BCC7AFC">
      <w:pPr>
        <w:rPr>
          <w:rFonts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7E74DC11">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联合体成员：广东新瑞智安科技有限公司</w:t>
      </w:r>
    </w:p>
    <w:tbl>
      <w:tblPr>
        <w:tblStyle w:val="14"/>
        <w:tblW w:w="15012" w:type="dxa"/>
        <w:tblInd w:w="-509" w:type="dxa"/>
        <w:tblLayout w:type="autofit"/>
        <w:tblCellMar>
          <w:top w:w="0" w:type="dxa"/>
          <w:left w:w="108" w:type="dxa"/>
          <w:bottom w:w="0" w:type="dxa"/>
          <w:right w:w="108" w:type="dxa"/>
        </w:tblCellMar>
      </w:tblPr>
      <w:tblGrid>
        <w:gridCol w:w="720"/>
        <w:gridCol w:w="1440"/>
        <w:gridCol w:w="1155"/>
        <w:gridCol w:w="5325"/>
        <w:gridCol w:w="4545"/>
        <w:gridCol w:w="1827"/>
      </w:tblGrid>
      <w:tr w14:paraId="2478F869">
        <w:tblPrEx>
          <w:tblCellMar>
            <w:top w:w="0" w:type="dxa"/>
            <w:left w:w="108" w:type="dxa"/>
            <w:bottom w:w="0" w:type="dxa"/>
            <w:right w:w="108" w:type="dxa"/>
          </w:tblCellMar>
        </w:tblPrEx>
        <w:trPr>
          <w:trHeight w:val="601"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41A7215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440" w:type="dxa"/>
            <w:tcBorders>
              <w:top w:val="single" w:color="auto" w:sz="4" w:space="0"/>
              <w:left w:val="nil"/>
              <w:bottom w:val="single" w:color="auto" w:sz="4" w:space="0"/>
              <w:right w:val="single" w:color="auto" w:sz="4" w:space="0"/>
            </w:tcBorders>
            <w:shd w:val="clear" w:color="auto" w:fill="auto"/>
            <w:vAlign w:val="center"/>
          </w:tcPr>
          <w:p w14:paraId="62A541C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1155" w:type="dxa"/>
            <w:tcBorders>
              <w:top w:val="single" w:color="auto" w:sz="4" w:space="0"/>
              <w:left w:val="nil"/>
              <w:bottom w:val="single" w:color="auto" w:sz="4" w:space="0"/>
              <w:right w:val="single" w:color="auto" w:sz="4" w:space="0"/>
            </w:tcBorders>
            <w:shd w:val="clear" w:color="auto" w:fill="auto"/>
            <w:vAlign w:val="center"/>
          </w:tcPr>
          <w:p w14:paraId="5D07397B">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325" w:type="dxa"/>
            <w:tcBorders>
              <w:top w:val="single" w:color="auto" w:sz="4" w:space="0"/>
              <w:left w:val="nil"/>
              <w:bottom w:val="single" w:color="auto" w:sz="4" w:space="0"/>
              <w:right w:val="single" w:color="auto" w:sz="4" w:space="0"/>
            </w:tcBorders>
            <w:shd w:val="clear" w:color="auto" w:fill="auto"/>
            <w:vAlign w:val="center"/>
          </w:tcPr>
          <w:p w14:paraId="52D86E0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4545" w:type="dxa"/>
            <w:tcBorders>
              <w:top w:val="single" w:color="auto" w:sz="4" w:space="0"/>
              <w:left w:val="nil"/>
              <w:bottom w:val="single" w:color="auto" w:sz="4" w:space="0"/>
              <w:right w:val="single" w:color="auto" w:sz="4" w:space="0"/>
            </w:tcBorders>
            <w:shd w:val="clear" w:color="auto" w:fill="auto"/>
            <w:vAlign w:val="center"/>
          </w:tcPr>
          <w:p w14:paraId="2087582E">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827" w:type="dxa"/>
            <w:tcBorders>
              <w:top w:val="single" w:color="auto" w:sz="4" w:space="0"/>
              <w:left w:val="nil"/>
              <w:bottom w:val="single" w:color="auto" w:sz="4" w:space="0"/>
              <w:right w:val="single" w:color="auto" w:sz="4" w:space="0"/>
            </w:tcBorders>
            <w:shd w:val="clear" w:color="auto" w:fill="auto"/>
            <w:vAlign w:val="center"/>
          </w:tcPr>
          <w:p w14:paraId="279146C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7C3AA27F">
        <w:tblPrEx>
          <w:tblCellMar>
            <w:top w:w="0" w:type="dxa"/>
            <w:left w:w="108" w:type="dxa"/>
            <w:bottom w:w="0" w:type="dxa"/>
            <w:right w:w="108" w:type="dxa"/>
          </w:tblCellMar>
        </w:tblPrEx>
        <w:trPr>
          <w:trHeight w:val="601"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532F257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440" w:type="dxa"/>
            <w:tcBorders>
              <w:top w:val="single" w:color="auto" w:sz="4" w:space="0"/>
              <w:left w:val="nil"/>
              <w:bottom w:val="single" w:color="auto" w:sz="4" w:space="0"/>
              <w:right w:val="single" w:color="auto" w:sz="4" w:space="0"/>
            </w:tcBorders>
            <w:shd w:val="clear" w:color="auto" w:fill="auto"/>
            <w:vAlign w:val="center"/>
          </w:tcPr>
          <w:p w14:paraId="48D505A3">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LeanOS精益数字运营系统</w:t>
            </w:r>
          </w:p>
        </w:tc>
        <w:tc>
          <w:tcPr>
            <w:tcW w:w="1155" w:type="dxa"/>
            <w:tcBorders>
              <w:top w:val="single" w:color="auto" w:sz="4" w:space="0"/>
              <w:left w:val="nil"/>
              <w:bottom w:val="single" w:color="auto" w:sz="4" w:space="0"/>
              <w:right w:val="single" w:color="auto" w:sz="4" w:space="0"/>
            </w:tcBorders>
            <w:shd w:val="clear" w:color="auto" w:fill="auto"/>
            <w:vAlign w:val="center"/>
          </w:tcPr>
          <w:p w14:paraId="125BC827">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生产制造</w:t>
            </w:r>
          </w:p>
        </w:tc>
        <w:tc>
          <w:tcPr>
            <w:tcW w:w="5325" w:type="dxa"/>
            <w:tcBorders>
              <w:top w:val="single" w:color="auto" w:sz="4" w:space="0"/>
              <w:left w:val="nil"/>
              <w:bottom w:val="single" w:color="auto" w:sz="4" w:space="0"/>
              <w:right w:val="single" w:color="auto" w:sz="4" w:space="0"/>
            </w:tcBorders>
            <w:shd w:val="clear" w:color="auto" w:fill="auto"/>
            <w:vAlign w:val="center"/>
          </w:tcPr>
          <w:p w14:paraId="0E5EF335">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功能模块：战略部署、方针管理、项目管理、改善提案、人才育成、工厂布局设计、标准作业设计、计划排产与物流作业设计、快速换模设计、精益价值流分析、精益模板库。</w:t>
            </w:r>
          </w:p>
        </w:tc>
        <w:tc>
          <w:tcPr>
            <w:tcW w:w="4545" w:type="dxa"/>
            <w:tcBorders>
              <w:top w:val="single" w:color="auto" w:sz="4" w:space="0"/>
              <w:left w:val="nil"/>
              <w:bottom w:val="single" w:color="auto" w:sz="4" w:space="0"/>
              <w:right w:val="single" w:color="auto" w:sz="4" w:space="0"/>
            </w:tcBorders>
            <w:shd w:val="clear" w:color="auto" w:fill="auto"/>
            <w:vAlign w:val="center"/>
          </w:tcPr>
          <w:p w14:paraId="10FB08E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产品使用费+咨询实施费用 </w:t>
            </w:r>
          </w:p>
          <w:p w14:paraId="54F99F5B">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收费模式：</w:t>
            </w:r>
          </w:p>
          <w:p w14:paraId="3534334B">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1、100用户以内，产品使用费20000元/年；100用户以上，每增加50用户，年使用费用增加5000元。</w:t>
            </w:r>
          </w:p>
          <w:p w14:paraId="4CC2DB0C">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2、咨询实施费用根据顾问出访人天计算，精益数字化咨询顾问1500元/人/天。</w:t>
            </w:r>
          </w:p>
        </w:tc>
        <w:tc>
          <w:tcPr>
            <w:tcW w:w="1827" w:type="dxa"/>
            <w:tcBorders>
              <w:top w:val="single" w:color="auto" w:sz="4" w:space="0"/>
              <w:left w:val="nil"/>
              <w:bottom w:val="single" w:color="auto" w:sz="4" w:space="0"/>
              <w:right w:val="single" w:color="auto" w:sz="4" w:space="0"/>
            </w:tcBorders>
            <w:shd w:val="clear" w:color="auto" w:fill="auto"/>
            <w:vAlign w:val="center"/>
          </w:tcPr>
          <w:p w14:paraId="02DDC7BD">
            <w:pPr>
              <w:jc w:val="center"/>
              <w:rPr>
                <w:rFonts w:hint="eastAsia" w:ascii="仿宋_GB2312" w:hAnsi="仿宋_GB2312" w:eastAsia="仿宋_GB2312" w:cs="仿宋_GB2312"/>
                <w:b w:val="0"/>
                <w:bCs w:val="0"/>
                <w:color w:val="auto"/>
                <w:kern w:val="0"/>
                <w:sz w:val="24"/>
                <w:szCs w:val="24"/>
              </w:rPr>
            </w:pPr>
          </w:p>
        </w:tc>
      </w:tr>
      <w:tr w14:paraId="714B4E8F">
        <w:tblPrEx>
          <w:tblCellMar>
            <w:top w:w="0" w:type="dxa"/>
            <w:left w:w="108" w:type="dxa"/>
            <w:bottom w:w="0" w:type="dxa"/>
            <w:right w:w="108" w:type="dxa"/>
          </w:tblCellMar>
        </w:tblPrEx>
        <w:trPr>
          <w:trHeight w:val="601"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1F9F96C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440" w:type="dxa"/>
            <w:tcBorders>
              <w:top w:val="single" w:color="auto" w:sz="4" w:space="0"/>
              <w:left w:val="nil"/>
              <w:bottom w:val="single" w:color="auto" w:sz="4" w:space="0"/>
              <w:right w:val="single" w:color="auto" w:sz="4" w:space="0"/>
            </w:tcBorders>
            <w:shd w:val="clear" w:color="auto" w:fill="auto"/>
            <w:vAlign w:val="center"/>
          </w:tcPr>
          <w:p w14:paraId="696EBA08">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LeanMES精益生产执行系统</w:t>
            </w:r>
          </w:p>
        </w:tc>
        <w:tc>
          <w:tcPr>
            <w:tcW w:w="1155" w:type="dxa"/>
            <w:tcBorders>
              <w:top w:val="single" w:color="auto" w:sz="4" w:space="0"/>
              <w:left w:val="nil"/>
              <w:bottom w:val="single" w:color="auto" w:sz="4" w:space="0"/>
              <w:right w:val="single" w:color="auto" w:sz="4" w:space="0"/>
            </w:tcBorders>
            <w:shd w:val="clear" w:color="auto" w:fill="auto"/>
            <w:vAlign w:val="center"/>
          </w:tcPr>
          <w:p w14:paraId="047773E9">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生产制造</w:t>
            </w:r>
          </w:p>
        </w:tc>
        <w:tc>
          <w:tcPr>
            <w:tcW w:w="5325" w:type="dxa"/>
            <w:tcBorders>
              <w:top w:val="single" w:color="auto" w:sz="4" w:space="0"/>
              <w:left w:val="nil"/>
              <w:bottom w:val="single" w:color="auto" w:sz="4" w:space="0"/>
              <w:right w:val="single" w:color="auto" w:sz="4" w:space="0"/>
            </w:tcBorders>
            <w:shd w:val="clear" w:color="auto" w:fill="auto"/>
            <w:vAlign w:val="center"/>
          </w:tcPr>
          <w:p w14:paraId="137DA62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面向产业集群企业，针对定制化、小批量多品种的生产方式中存在的生产计划执行进度不透明、数据统计与追溯困难等问题、信息传递，进行精益化生产管理过程优化。帮助企业低成本实现生产过程的数字化，实现生产计划执行进度实时可视、多维度生产数据统计分析报表呈现，有效提高企业信息管理效率。</w:t>
            </w:r>
          </w:p>
        </w:tc>
        <w:tc>
          <w:tcPr>
            <w:tcW w:w="4545" w:type="dxa"/>
            <w:tcBorders>
              <w:top w:val="single" w:color="auto" w:sz="4" w:space="0"/>
              <w:left w:val="nil"/>
              <w:bottom w:val="single" w:color="auto" w:sz="4" w:space="0"/>
              <w:right w:val="single" w:color="auto" w:sz="4" w:space="0"/>
            </w:tcBorders>
            <w:shd w:val="clear" w:color="auto" w:fill="auto"/>
            <w:vAlign w:val="center"/>
          </w:tcPr>
          <w:p w14:paraId="1963C6F6">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产品及实施：20万元-30万元；</w:t>
            </w:r>
          </w:p>
          <w:p w14:paraId="266DA68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100用户以内，产品使用费 20000元/年；100用户以上，每增加50用户，年使用费用增加5000元。</w:t>
            </w:r>
          </w:p>
        </w:tc>
        <w:tc>
          <w:tcPr>
            <w:tcW w:w="1827" w:type="dxa"/>
            <w:tcBorders>
              <w:top w:val="single" w:color="auto" w:sz="4" w:space="0"/>
              <w:left w:val="nil"/>
              <w:bottom w:val="single" w:color="auto" w:sz="4" w:space="0"/>
              <w:right w:val="single" w:color="auto" w:sz="4" w:space="0"/>
            </w:tcBorders>
            <w:shd w:val="clear" w:color="auto" w:fill="auto"/>
            <w:vAlign w:val="center"/>
          </w:tcPr>
          <w:p w14:paraId="1817168C">
            <w:pPr>
              <w:jc w:val="center"/>
              <w:rPr>
                <w:rFonts w:hint="eastAsia" w:ascii="仿宋_GB2312" w:hAnsi="仿宋_GB2312" w:eastAsia="仿宋_GB2312" w:cs="仿宋_GB2312"/>
                <w:b w:val="0"/>
                <w:bCs w:val="0"/>
                <w:color w:val="auto"/>
                <w:kern w:val="0"/>
                <w:sz w:val="24"/>
                <w:szCs w:val="24"/>
              </w:rPr>
            </w:pPr>
          </w:p>
        </w:tc>
      </w:tr>
      <w:tr w14:paraId="19FA1AEC">
        <w:tblPrEx>
          <w:tblCellMar>
            <w:top w:w="0" w:type="dxa"/>
            <w:left w:w="108" w:type="dxa"/>
            <w:bottom w:w="0" w:type="dxa"/>
            <w:right w:w="108" w:type="dxa"/>
          </w:tblCellMar>
        </w:tblPrEx>
        <w:trPr>
          <w:trHeight w:val="601"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66408C4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440" w:type="dxa"/>
            <w:tcBorders>
              <w:top w:val="single" w:color="auto" w:sz="4" w:space="0"/>
              <w:left w:val="nil"/>
              <w:bottom w:val="single" w:color="auto" w:sz="4" w:space="0"/>
              <w:right w:val="single" w:color="auto" w:sz="4" w:space="0"/>
            </w:tcBorders>
            <w:shd w:val="clear" w:color="auto" w:fill="auto"/>
            <w:vAlign w:val="center"/>
          </w:tcPr>
          <w:p w14:paraId="37CA7B4C">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LeanWMS仓储管理系统</w:t>
            </w:r>
          </w:p>
        </w:tc>
        <w:tc>
          <w:tcPr>
            <w:tcW w:w="1155" w:type="dxa"/>
            <w:tcBorders>
              <w:top w:val="single" w:color="auto" w:sz="4" w:space="0"/>
              <w:left w:val="nil"/>
              <w:bottom w:val="single" w:color="auto" w:sz="4" w:space="0"/>
              <w:right w:val="single" w:color="auto" w:sz="4" w:space="0"/>
            </w:tcBorders>
            <w:shd w:val="clear" w:color="auto" w:fill="auto"/>
            <w:vAlign w:val="center"/>
          </w:tcPr>
          <w:p w14:paraId="5EEEA2B6">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生产制造</w:t>
            </w:r>
          </w:p>
        </w:tc>
        <w:tc>
          <w:tcPr>
            <w:tcW w:w="5325" w:type="dxa"/>
            <w:tcBorders>
              <w:top w:val="single" w:color="auto" w:sz="4" w:space="0"/>
              <w:left w:val="nil"/>
              <w:bottom w:val="single" w:color="auto" w:sz="4" w:space="0"/>
              <w:right w:val="single" w:color="auto" w:sz="4" w:space="0"/>
            </w:tcBorders>
            <w:shd w:val="clear" w:color="auto" w:fill="auto"/>
            <w:vAlign w:val="center"/>
          </w:tcPr>
          <w:p w14:paraId="1A556123">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面向产业集群企业，可以帮助企业实现对仓库内物料、生产车间在制品、库存等信息进行快速、准确、高效地管理与监控，能够对物料的进出库、转移、质检、报废等全过程进行追踪和记录，提供货物实时状态和历史数据的查询报告，方便客户进行数据分析和决策，将仓库各项业务流程标准化。</w:t>
            </w:r>
          </w:p>
        </w:tc>
        <w:tc>
          <w:tcPr>
            <w:tcW w:w="4545" w:type="dxa"/>
            <w:tcBorders>
              <w:top w:val="single" w:color="auto" w:sz="4" w:space="0"/>
              <w:left w:val="nil"/>
              <w:bottom w:val="single" w:color="auto" w:sz="4" w:space="0"/>
              <w:right w:val="single" w:color="auto" w:sz="4" w:space="0"/>
            </w:tcBorders>
            <w:shd w:val="clear" w:color="auto" w:fill="auto"/>
            <w:vAlign w:val="center"/>
          </w:tcPr>
          <w:p w14:paraId="06EEF0F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产品及实施：10万元-20万元；</w:t>
            </w:r>
          </w:p>
          <w:p w14:paraId="2B5CFEE2">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100用户以内，产品使用费 10000元/年；100用户以上，每增加50用户，年使用费用增加2000元。</w:t>
            </w:r>
          </w:p>
        </w:tc>
        <w:tc>
          <w:tcPr>
            <w:tcW w:w="1827" w:type="dxa"/>
            <w:tcBorders>
              <w:top w:val="single" w:color="auto" w:sz="4" w:space="0"/>
              <w:left w:val="nil"/>
              <w:bottom w:val="single" w:color="auto" w:sz="4" w:space="0"/>
              <w:right w:val="single" w:color="auto" w:sz="4" w:space="0"/>
            </w:tcBorders>
            <w:shd w:val="clear" w:color="auto" w:fill="auto"/>
            <w:vAlign w:val="center"/>
          </w:tcPr>
          <w:p w14:paraId="5B3934D3">
            <w:pPr>
              <w:jc w:val="center"/>
              <w:rPr>
                <w:rFonts w:hint="eastAsia" w:ascii="仿宋_GB2312" w:hAnsi="仿宋_GB2312" w:eastAsia="仿宋_GB2312" w:cs="仿宋_GB2312"/>
                <w:b w:val="0"/>
                <w:bCs w:val="0"/>
                <w:color w:val="auto"/>
                <w:kern w:val="0"/>
                <w:sz w:val="24"/>
                <w:szCs w:val="24"/>
              </w:rPr>
            </w:pPr>
          </w:p>
        </w:tc>
      </w:tr>
      <w:tr w14:paraId="29C5F497">
        <w:tblPrEx>
          <w:tblCellMar>
            <w:top w:w="0" w:type="dxa"/>
            <w:left w:w="108" w:type="dxa"/>
            <w:bottom w:w="0" w:type="dxa"/>
            <w:right w:w="108" w:type="dxa"/>
          </w:tblCellMar>
        </w:tblPrEx>
        <w:trPr>
          <w:trHeight w:val="1468" w:hRule="atLeast"/>
        </w:trPr>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04CAA16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440" w:type="dxa"/>
            <w:tcBorders>
              <w:top w:val="single" w:color="auto" w:sz="4" w:space="0"/>
              <w:left w:val="nil"/>
              <w:bottom w:val="single" w:color="auto" w:sz="4" w:space="0"/>
              <w:right w:val="single" w:color="auto" w:sz="4" w:space="0"/>
            </w:tcBorders>
            <w:shd w:val="clear" w:color="auto" w:fill="auto"/>
            <w:vAlign w:val="center"/>
          </w:tcPr>
          <w:p w14:paraId="1613583C">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LeanOMS订单管理系统</w:t>
            </w:r>
          </w:p>
        </w:tc>
        <w:tc>
          <w:tcPr>
            <w:tcW w:w="1155" w:type="dxa"/>
            <w:tcBorders>
              <w:top w:val="single" w:color="auto" w:sz="4" w:space="0"/>
              <w:left w:val="nil"/>
              <w:bottom w:val="single" w:color="auto" w:sz="4" w:space="0"/>
              <w:right w:val="single" w:color="auto" w:sz="4" w:space="0"/>
            </w:tcBorders>
            <w:shd w:val="clear" w:color="auto" w:fill="auto"/>
            <w:vAlign w:val="center"/>
          </w:tcPr>
          <w:p w14:paraId="36FE4CC9">
            <w:pPr>
              <w:keepNext w:val="0"/>
              <w:keepLines w:val="0"/>
              <w:pageBreakBefore w:val="0"/>
              <w:widowControl w:val="0"/>
              <w:kinsoku/>
              <w:wordWrap/>
              <w:overflowPunct/>
              <w:topLinePunct w:val="0"/>
              <w:autoSpaceDE/>
              <w:autoSpaceDN/>
              <w:bidi w:val="0"/>
              <w:adjustRightInd/>
              <w:snapToGrid/>
              <w:spacing w:line="307" w:lineRule="exac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经营管理及生产管理</w:t>
            </w:r>
          </w:p>
        </w:tc>
        <w:tc>
          <w:tcPr>
            <w:tcW w:w="5325" w:type="dxa"/>
            <w:tcBorders>
              <w:top w:val="single" w:color="auto" w:sz="4" w:space="0"/>
              <w:left w:val="nil"/>
              <w:bottom w:val="single" w:color="auto" w:sz="4" w:space="0"/>
              <w:right w:val="single" w:color="auto" w:sz="4" w:space="0"/>
            </w:tcBorders>
            <w:shd w:val="clear" w:color="auto" w:fill="auto"/>
            <w:vAlign w:val="center"/>
          </w:tcPr>
          <w:p w14:paraId="678169F0">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面向产业集群企业，可以帮助企业实现销售选配下单、订单产品、部件的确认；销售报价；订单管理。</w:t>
            </w:r>
          </w:p>
        </w:tc>
        <w:tc>
          <w:tcPr>
            <w:tcW w:w="4545" w:type="dxa"/>
            <w:tcBorders>
              <w:top w:val="single" w:color="auto" w:sz="4" w:space="0"/>
              <w:left w:val="nil"/>
              <w:bottom w:val="single" w:color="auto" w:sz="4" w:space="0"/>
              <w:right w:val="single" w:color="auto" w:sz="4" w:space="0"/>
            </w:tcBorders>
            <w:shd w:val="clear" w:color="auto" w:fill="auto"/>
            <w:vAlign w:val="center"/>
          </w:tcPr>
          <w:p w14:paraId="4EF5D26E">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产品及实施：10万元-20万元；</w:t>
            </w:r>
          </w:p>
          <w:p w14:paraId="7FF7BC36">
            <w:pPr>
              <w:keepNext w:val="0"/>
              <w:keepLines w:val="0"/>
              <w:pageBreakBefore w:val="0"/>
              <w:widowControl w:val="0"/>
              <w:kinsoku/>
              <w:wordWrap/>
              <w:overflowPunct/>
              <w:topLinePunct w:val="0"/>
              <w:autoSpaceDE/>
              <w:autoSpaceDN/>
              <w:bidi w:val="0"/>
              <w:adjustRightInd/>
              <w:snapToGrid/>
              <w:spacing w:line="307" w:lineRule="exac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年度服务费：产品费用10%</w:t>
            </w:r>
          </w:p>
        </w:tc>
        <w:tc>
          <w:tcPr>
            <w:tcW w:w="1827" w:type="dxa"/>
            <w:tcBorders>
              <w:top w:val="single" w:color="auto" w:sz="4" w:space="0"/>
              <w:left w:val="nil"/>
              <w:bottom w:val="single" w:color="auto" w:sz="4" w:space="0"/>
              <w:right w:val="single" w:color="auto" w:sz="4" w:space="0"/>
            </w:tcBorders>
            <w:shd w:val="clear" w:color="auto" w:fill="auto"/>
            <w:vAlign w:val="center"/>
          </w:tcPr>
          <w:p w14:paraId="38839715">
            <w:pPr>
              <w:jc w:val="center"/>
              <w:rPr>
                <w:rFonts w:hint="eastAsia" w:ascii="仿宋_GB2312" w:hAnsi="仿宋_GB2312" w:eastAsia="仿宋_GB2312" w:cs="仿宋_GB2312"/>
                <w:b w:val="0"/>
                <w:bCs w:val="0"/>
                <w:color w:val="auto"/>
                <w:kern w:val="0"/>
                <w:sz w:val="24"/>
                <w:szCs w:val="24"/>
              </w:rPr>
            </w:pPr>
          </w:p>
        </w:tc>
      </w:tr>
    </w:tbl>
    <w:p w14:paraId="09D3440F">
      <w:pPr>
        <w:jc w:val="both"/>
        <w:rPr>
          <w:rFonts w:ascii="仿宋_GB2312" w:hAnsi="仿宋_GB2312" w:eastAsia="仿宋_GB2312" w:cs="仿宋_GB2312"/>
          <w:bCs/>
          <w:sz w:val="32"/>
          <w:szCs w:val="32"/>
        </w:rPr>
      </w:pPr>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C91D9">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193BEBE6">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193BEBE6">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1BAA3C1D"/>
    <w:multiLevelType w:val="singleLevel"/>
    <w:tmpl w:val="1BAA3C1D"/>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10735"/>
    <w:rsid w:val="0002699B"/>
    <w:rsid w:val="00037AF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E5212"/>
    <w:rsid w:val="00FF0E2D"/>
    <w:rsid w:val="01F114A6"/>
    <w:rsid w:val="02C5CCB7"/>
    <w:rsid w:val="02CB0A0A"/>
    <w:rsid w:val="02F46452"/>
    <w:rsid w:val="034942A9"/>
    <w:rsid w:val="054A784B"/>
    <w:rsid w:val="057522D4"/>
    <w:rsid w:val="06986394"/>
    <w:rsid w:val="070FF518"/>
    <w:rsid w:val="0774295E"/>
    <w:rsid w:val="09DC163D"/>
    <w:rsid w:val="0A636732"/>
    <w:rsid w:val="0A85669C"/>
    <w:rsid w:val="0AF53DB5"/>
    <w:rsid w:val="0B236729"/>
    <w:rsid w:val="0C373769"/>
    <w:rsid w:val="0F6D6048"/>
    <w:rsid w:val="11B20A9E"/>
    <w:rsid w:val="13702B73"/>
    <w:rsid w:val="14C57BD3"/>
    <w:rsid w:val="14DB226E"/>
    <w:rsid w:val="14E867DD"/>
    <w:rsid w:val="164D0F49"/>
    <w:rsid w:val="174A2BA6"/>
    <w:rsid w:val="192760B3"/>
    <w:rsid w:val="1A976858"/>
    <w:rsid w:val="1B5D3A44"/>
    <w:rsid w:val="1DAC0C4B"/>
    <w:rsid w:val="1DB3BDD9"/>
    <w:rsid w:val="1ED17600"/>
    <w:rsid w:val="1EEF4B70"/>
    <w:rsid w:val="20B85440"/>
    <w:rsid w:val="20B95576"/>
    <w:rsid w:val="212C2C82"/>
    <w:rsid w:val="227B464E"/>
    <w:rsid w:val="22DE013F"/>
    <w:rsid w:val="231E4B10"/>
    <w:rsid w:val="23226CC1"/>
    <w:rsid w:val="23AE58BE"/>
    <w:rsid w:val="23BD70CF"/>
    <w:rsid w:val="23CB5BA3"/>
    <w:rsid w:val="24A415E4"/>
    <w:rsid w:val="26DB7EAB"/>
    <w:rsid w:val="28472F88"/>
    <w:rsid w:val="29491A44"/>
    <w:rsid w:val="29995DFC"/>
    <w:rsid w:val="2AD6748B"/>
    <w:rsid w:val="2C570682"/>
    <w:rsid w:val="2CB0732E"/>
    <w:rsid w:val="2F2919D0"/>
    <w:rsid w:val="2FA01113"/>
    <w:rsid w:val="31B61C41"/>
    <w:rsid w:val="32987C10"/>
    <w:rsid w:val="33013899"/>
    <w:rsid w:val="331971C9"/>
    <w:rsid w:val="33FE167D"/>
    <w:rsid w:val="36F34D9D"/>
    <w:rsid w:val="375A1547"/>
    <w:rsid w:val="37FF5F14"/>
    <w:rsid w:val="381E4C82"/>
    <w:rsid w:val="387C3B96"/>
    <w:rsid w:val="3933358B"/>
    <w:rsid w:val="39D23390"/>
    <w:rsid w:val="3A173499"/>
    <w:rsid w:val="3A9EFFCE"/>
    <w:rsid w:val="3BD6517D"/>
    <w:rsid w:val="3C431B90"/>
    <w:rsid w:val="3D1C55C2"/>
    <w:rsid w:val="3E5A7DF8"/>
    <w:rsid w:val="41FE0D2A"/>
    <w:rsid w:val="42360234"/>
    <w:rsid w:val="4248149B"/>
    <w:rsid w:val="43397FDC"/>
    <w:rsid w:val="434F2582"/>
    <w:rsid w:val="43E837B0"/>
    <w:rsid w:val="442944F4"/>
    <w:rsid w:val="443469F5"/>
    <w:rsid w:val="44606CD8"/>
    <w:rsid w:val="44D56131"/>
    <w:rsid w:val="46653894"/>
    <w:rsid w:val="47242D51"/>
    <w:rsid w:val="473E165D"/>
    <w:rsid w:val="487D1F30"/>
    <w:rsid w:val="48E82276"/>
    <w:rsid w:val="4973551B"/>
    <w:rsid w:val="49F707DB"/>
    <w:rsid w:val="4A144D30"/>
    <w:rsid w:val="4A3F571D"/>
    <w:rsid w:val="4A4C2CEB"/>
    <w:rsid w:val="4B3043BA"/>
    <w:rsid w:val="4C26230B"/>
    <w:rsid w:val="4C497CAC"/>
    <w:rsid w:val="4D4E6532"/>
    <w:rsid w:val="4E416104"/>
    <w:rsid w:val="4F980780"/>
    <w:rsid w:val="517FE114"/>
    <w:rsid w:val="51E02228"/>
    <w:rsid w:val="524530D8"/>
    <w:rsid w:val="52A042A5"/>
    <w:rsid w:val="52B2406A"/>
    <w:rsid w:val="533633E9"/>
    <w:rsid w:val="5411167A"/>
    <w:rsid w:val="555D1125"/>
    <w:rsid w:val="565847C5"/>
    <w:rsid w:val="569D6333"/>
    <w:rsid w:val="56EFD299"/>
    <w:rsid w:val="56F3FCF0"/>
    <w:rsid w:val="57F16FC2"/>
    <w:rsid w:val="58995EAE"/>
    <w:rsid w:val="5A1A070F"/>
    <w:rsid w:val="5A305377"/>
    <w:rsid w:val="5A6E44C2"/>
    <w:rsid w:val="5BFFB320"/>
    <w:rsid w:val="5E0019CA"/>
    <w:rsid w:val="5EB545FA"/>
    <w:rsid w:val="61C3168D"/>
    <w:rsid w:val="62D6033B"/>
    <w:rsid w:val="62D91739"/>
    <w:rsid w:val="62E0081A"/>
    <w:rsid w:val="63F50BFD"/>
    <w:rsid w:val="64FD4BAB"/>
    <w:rsid w:val="6588162A"/>
    <w:rsid w:val="669730E8"/>
    <w:rsid w:val="67145666"/>
    <w:rsid w:val="67460A40"/>
    <w:rsid w:val="67DD55E5"/>
    <w:rsid w:val="6846773F"/>
    <w:rsid w:val="68B35298"/>
    <w:rsid w:val="68BB23A7"/>
    <w:rsid w:val="69472BA3"/>
    <w:rsid w:val="6A7259FE"/>
    <w:rsid w:val="6EF95004"/>
    <w:rsid w:val="70D2369A"/>
    <w:rsid w:val="71E82A49"/>
    <w:rsid w:val="72872F89"/>
    <w:rsid w:val="73BD5D86"/>
    <w:rsid w:val="769211D6"/>
    <w:rsid w:val="76C463FC"/>
    <w:rsid w:val="775546DD"/>
    <w:rsid w:val="777849C9"/>
    <w:rsid w:val="77CF7617"/>
    <w:rsid w:val="7B364826"/>
    <w:rsid w:val="7C217926"/>
    <w:rsid w:val="7CBFAA9E"/>
    <w:rsid w:val="7D0F64F8"/>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7"/>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32"/>
    <w:unhideWhenUsed/>
    <w:qFormat/>
    <w:uiPriority w:val="99"/>
    <w:pPr>
      <w:jc w:val="left"/>
    </w:pPr>
  </w:style>
  <w:style w:type="paragraph" w:styleId="7">
    <w:name w:val="Body Text"/>
    <w:basedOn w:val="1"/>
    <w:link w:val="33"/>
    <w:unhideWhenUsed/>
    <w:qFormat/>
    <w:uiPriority w:val="99"/>
    <w:rPr>
      <w:rFonts w:eastAsia="宋体"/>
      <w:sz w:val="30"/>
      <w:szCs w:val="30"/>
    </w:r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6"/>
    <w:next w:val="6"/>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2"/>
    <w:qFormat/>
    <w:uiPriority w:val="0"/>
    <w:rPr>
      <w:rFonts w:ascii="Times New Roman" w:hAnsi="Times New Roman" w:eastAsia="黑体" w:cs="Times New Roman"/>
      <w:kern w:val="44"/>
      <w:sz w:val="20"/>
      <w:szCs w:val="20"/>
    </w:rPr>
  </w:style>
  <w:style w:type="character" w:customStyle="1" w:styleId="31">
    <w:name w:val="标题 2 字符"/>
    <w:basedOn w:val="16"/>
    <w:link w:val="3"/>
    <w:qFormat/>
    <w:uiPriority w:val="9"/>
    <w:rPr>
      <w:rFonts w:ascii="楷体" w:hAnsi="楷体" w:eastAsia="楷体" w:cs="Times New Roman"/>
      <w:sz w:val="28"/>
      <w:szCs w:val="28"/>
    </w:rPr>
  </w:style>
  <w:style w:type="character" w:customStyle="1" w:styleId="32">
    <w:name w:val="批注文字 字符"/>
    <w:link w:val="6"/>
    <w:qFormat/>
    <w:uiPriority w:val="99"/>
    <w:rPr>
      <w:rFonts w:ascii="Calibri" w:hAnsi="Calibri" w:eastAsia="仿宋" w:cs="Calibri"/>
      <w:sz w:val="28"/>
      <w:szCs w:val="21"/>
    </w:rPr>
  </w:style>
  <w:style w:type="character" w:customStyle="1" w:styleId="33">
    <w:name w:val="正文文本 字符"/>
    <w:link w:val="7"/>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4"/>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10</Pages>
  <Words>2710</Words>
  <Characters>2989</Characters>
  <Lines>23</Lines>
  <Paragraphs>6</Paragraphs>
  <TotalTime>59</TotalTime>
  <ScaleCrop>false</ScaleCrop>
  <LinksUpToDate>false</LinksUpToDate>
  <CharactersWithSpaces>3228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2025-02-26T02:08:00Z</cp:lastPrinted>
  <dcterms:modified xsi:type="dcterms:W3CDTF">2025-03-17T08:20:25Z</dcterms:modified>
  <dc:title>广东省产业集群工业互联数字化转型试点</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59DC9E906F1849E5B1A7D2372698BF00_13</vt:lpwstr>
  </property>
  <property fmtid="{D5CDD505-2E9C-101B-9397-08002B2CF9AE}" pid="4" name="KSOTemplateDocerSaveRecord">
    <vt:lpwstr>eyJoZGlkIjoiMzEwNTM5NzYwMDRjMzkwZTVkZjY2ODkwMGIxNGU0OTUiLCJ1c2VySWQiOiIzMjI0MTE4NjIifQ==</vt:lpwstr>
  </property>
</Properties>
</file>